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E9F" w14:textId="77777777" w:rsidR="00C53B1D" w:rsidRDefault="00C53B1D" w:rsidP="00C53B1D">
      <w:pPr>
        <w:pStyle w:val="Corpsdetexte"/>
        <w:spacing w:before="90"/>
        <w:ind w:left="119" w:right="221"/>
      </w:pPr>
    </w:p>
    <w:p w14:paraId="6101A099" w14:textId="77777777" w:rsidR="00C53B1D" w:rsidRDefault="00C53B1D" w:rsidP="00C53B1D">
      <w:pPr>
        <w:pStyle w:val="Titre1"/>
        <w:spacing w:before="217"/>
      </w:pPr>
    </w:p>
    <w:p w14:paraId="397CEC23" w14:textId="2178D8F3" w:rsidR="00C53B1D" w:rsidRDefault="00C53B1D" w:rsidP="00C53B1D">
      <w:pPr>
        <w:pStyle w:val="Corpsdetexte"/>
        <w:spacing w:before="5"/>
        <w:jc w:val="center"/>
        <w:rPr>
          <w:b/>
        </w:rPr>
      </w:pPr>
      <w:r>
        <w:rPr>
          <w:b/>
        </w:rPr>
        <w:t>PROPOSITION D’AMENDEMENT</w:t>
      </w:r>
    </w:p>
    <w:p w14:paraId="42D33FF8" w14:textId="77777777" w:rsidR="00D46162" w:rsidRDefault="00D46162" w:rsidP="00C53B1D">
      <w:pPr>
        <w:pStyle w:val="Corpsdetexte"/>
        <w:spacing w:before="5"/>
        <w:jc w:val="center"/>
        <w:rPr>
          <w:b/>
        </w:rPr>
      </w:pPr>
    </w:p>
    <w:p w14:paraId="34A7FB9B" w14:textId="77777777" w:rsidR="00D46162" w:rsidRDefault="00D46162" w:rsidP="004728F3">
      <w:pPr>
        <w:pStyle w:val="amddispotitre"/>
        <w:widowControl/>
        <w:spacing w:after="100" w:afterAutospacing="1"/>
        <w:jc w:val="center"/>
      </w:pPr>
      <w:r>
        <w:t xml:space="preserve">ARTICLE ADDITIONNEL </w:t>
      </w:r>
    </w:p>
    <w:p w14:paraId="0BA8DFDF" w14:textId="0CEC9309" w:rsidR="002243B2" w:rsidRDefault="002243B2" w:rsidP="002243B2">
      <w:pPr>
        <w:pStyle w:val="amddispotitre"/>
        <w:keepNext/>
        <w:widowControl/>
        <w:spacing w:after="280" w:afterAutospacing="1"/>
        <w:jc w:val="center"/>
      </w:pPr>
      <w:r>
        <w:t xml:space="preserve">APRÈS </w:t>
      </w:r>
      <w:proofErr w:type="gramStart"/>
      <w:r>
        <w:t xml:space="preserve">L'ARTICLE </w:t>
      </w:r>
      <w:r w:rsidR="00BF4ED7">
        <w:t xml:space="preserve"> xxx</w:t>
      </w:r>
      <w:proofErr w:type="gramEnd"/>
      <w:r w:rsidR="00BF4ED7">
        <w:t xml:space="preserve"> </w:t>
      </w:r>
      <w:r>
        <w:t>, insérer l'article suivant :</w:t>
      </w:r>
    </w:p>
    <w:p w14:paraId="7D629417" w14:textId="77777777" w:rsidR="00C53B1D" w:rsidRDefault="00C53B1D" w:rsidP="00C53B1D">
      <w:pPr>
        <w:pStyle w:val="Corpsdetexte"/>
        <w:spacing w:before="5"/>
        <w:rPr>
          <w:b/>
        </w:rPr>
      </w:pPr>
    </w:p>
    <w:p w14:paraId="2A1418D3" w14:textId="6EB652F4" w:rsidR="00873FE3" w:rsidRDefault="00873FE3" w:rsidP="002243B2">
      <w:pPr>
        <w:pStyle w:val="Corpsdetexte"/>
        <w:jc w:val="both"/>
      </w:pPr>
      <w:r>
        <w:t xml:space="preserve">I. – Après la deuxième phrase du 2 du II de l’article 1691 bis du code général des impôts, </w:t>
      </w:r>
      <w:r w:rsidR="002243B2">
        <w:t>sont insérées</w:t>
      </w:r>
      <w:r>
        <w:t xml:space="preserve"> trois phrases ainsi rédigées : « La situation patrimoniale nette du demandeur est appréciée,</w:t>
      </w:r>
      <w:r w:rsidR="002243B2">
        <w:t xml:space="preserve"> </w:t>
      </w:r>
      <w:r>
        <w:t>à la date de la demande, en tenant compte de l’ensemble du patrimoine immobilier et mobilier du</w:t>
      </w:r>
      <w:r w:rsidR="002243B2">
        <w:t xml:space="preserve"> </w:t>
      </w:r>
      <w:r>
        <w:t>demandeur détenu en France ou à l’étranger à l’exclusion du patrimoine détenu par les personnes</w:t>
      </w:r>
      <w:r w:rsidR="002243B2">
        <w:t xml:space="preserve"> </w:t>
      </w:r>
      <w:r>
        <w:t>vivant habituellement avec lui. Les biens à exclure de la situation patrimoniale du demandeur</w:t>
      </w:r>
      <w:r w:rsidR="002243B2">
        <w:t xml:space="preserve"> </w:t>
      </w:r>
      <w:r>
        <w:t>s’entendent de la résidence principale dont le demandeur est propriétaire ou titulaire d’un droit réel</w:t>
      </w:r>
      <w:r w:rsidR="002243B2">
        <w:t xml:space="preserve"> </w:t>
      </w:r>
      <w:r>
        <w:t>immobilier et des biens immobiliers et droits réels immobiliers détenus par le demandeur</w:t>
      </w:r>
      <w:r w:rsidR="002243B2">
        <w:t xml:space="preserve"> </w:t>
      </w:r>
      <w:r>
        <w:t>antérieurement à la date du mariage ou du pacte civil de solidarité. En outre, le patrimoine du</w:t>
      </w:r>
      <w:r w:rsidR="002243B2">
        <w:t xml:space="preserve"> </w:t>
      </w:r>
      <w:r>
        <w:t>demandeur reçu par donation ou succession n’est pas pris en compte pour apprécier sa situation</w:t>
      </w:r>
      <w:r w:rsidR="002243B2">
        <w:t xml:space="preserve"> </w:t>
      </w:r>
      <w:r>
        <w:t>patrimoniale. »</w:t>
      </w:r>
    </w:p>
    <w:p w14:paraId="516CF975" w14:textId="77777777" w:rsidR="00027C9E" w:rsidRDefault="00027C9E" w:rsidP="00027C9E">
      <w:pPr>
        <w:pStyle w:val="Paragraphedeliste"/>
        <w:tabs>
          <w:tab w:val="left" w:pos="405"/>
        </w:tabs>
        <w:ind w:right="100" w:firstLine="0"/>
      </w:pPr>
    </w:p>
    <w:p w14:paraId="7B602166" w14:textId="5E6F0C6F" w:rsidR="00027C9E" w:rsidRDefault="00027C9E" w:rsidP="00BF4ED7">
      <w:pPr>
        <w:pStyle w:val="Paragraphedeliste"/>
        <w:tabs>
          <w:tab w:val="left" w:pos="405"/>
        </w:tabs>
        <w:ind w:left="-57" w:right="100" w:firstLine="0"/>
        <w:rPr>
          <w:sz w:val="24"/>
        </w:rPr>
      </w:pPr>
      <w:r>
        <w:t>II. – Le</w:t>
      </w:r>
      <w:r>
        <w:rPr>
          <w:sz w:val="24"/>
        </w:rPr>
        <w:t xml:space="preserve"> I est applicable aux demandes en décharge de l’obligation de paiement déposées à compter du 1</w:t>
      </w:r>
      <w:r>
        <w:rPr>
          <w:position w:val="7"/>
          <w:sz w:val="16"/>
        </w:rPr>
        <w:t>er</w:t>
      </w:r>
      <w:r>
        <w:rPr>
          <w:spacing w:val="40"/>
          <w:position w:val="7"/>
          <w:sz w:val="16"/>
        </w:rPr>
        <w:t xml:space="preserve"> </w:t>
      </w:r>
      <w:r>
        <w:rPr>
          <w:sz w:val="24"/>
        </w:rPr>
        <w:t>janvier 2024.</w:t>
      </w:r>
    </w:p>
    <w:p w14:paraId="790717F1" w14:textId="77777777" w:rsidR="002243B2" w:rsidRDefault="002243B2" w:rsidP="00BF4ED7">
      <w:pPr>
        <w:pStyle w:val="Corpsdetexte"/>
        <w:ind w:left="-57"/>
        <w:jc w:val="both"/>
      </w:pPr>
    </w:p>
    <w:p w14:paraId="300BC66D" w14:textId="653CD5C3" w:rsidR="00873FE3" w:rsidRDefault="00873FE3" w:rsidP="002243B2">
      <w:pPr>
        <w:pStyle w:val="Corpsdetexte"/>
        <w:jc w:val="both"/>
      </w:pPr>
      <w:r>
        <w:t>I</w:t>
      </w:r>
      <w:r w:rsidR="00027C9E">
        <w:t>I</w:t>
      </w:r>
      <w:r>
        <w:t>I. – La perte de recettes pour l’État est compensée à due concurrence par la création d’une taxe</w:t>
      </w:r>
      <w:r w:rsidR="002243B2">
        <w:t xml:space="preserve"> </w:t>
      </w:r>
      <w:r>
        <w:t>additionnelle à l’accise sur les tabacs prévue au chapitre IV du titre Ier du livre III du code des</w:t>
      </w:r>
      <w:r w:rsidR="002243B2">
        <w:t xml:space="preserve"> </w:t>
      </w:r>
      <w:r>
        <w:t>impositions sur les biens et services.</w:t>
      </w:r>
    </w:p>
    <w:p w14:paraId="320C3396" w14:textId="77777777" w:rsidR="002243B2" w:rsidRDefault="002243B2" w:rsidP="00873FE3">
      <w:pPr>
        <w:pStyle w:val="Corpsdetexte"/>
        <w:jc w:val="both"/>
      </w:pPr>
    </w:p>
    <w:p w14:paraId="70976303" w14:textId="4EC7FF3D" w:rsidR="00725EA1" w:rsidRDefault="00873FE3" w:rsidP="002243B2">
      <w:pPr>
        <w:pStyle w:val="Corpsdetexte"/>
        <w:jc w:val="center"/>
      </w:pPr>
      <w:r>
        <w:t>EXPOSÉ SOMMAIRE</w:t>
      </w:r>
    </w:p>
    <w:p w14:paraId="425D4D49" w14:textId="2CBFAE45" w:rsidR="00873FE3" w:rsidRDefault="002243B2" w:rsidP="00873FE3">
      <w:pPr>
        <w:pStyle w:val="Corpsdetexte"/>
        <w:jc w:val="both"/>
      </w:pPr>
      <w:r>
        <w:tab/>
      </w:r>
      <w:r w:rsidR="00873FE3">
        <w:t>Le principe de solidarité fiscale est un principe qui prévoit que chacun des époux ou des partenaires</w:t>
      </w:r>
      <w:r>
        <w:t xml:space="preserve"> </w:t>
      </w:r>
      <w:r w:rsidR="00873FE3">
        <w:t>de PACS peut être recherché pour le paiement du montant total de l’imposition dû pendant la</w:t>
      </w:r>
      <w:r>
        <w:t xml:space="preserve"> </w:t>
      </w:r>
      <w:r w:rsidR="00873FE3">
        <w:t>période de leur union sans qu’il y ait lieu de procéder entre eux à une répartition de la dette fiscale</w:t>
      </w:r>
      <w:r>
        <w:t xml:space="preserve"> </w:t>
      </w:r>
      <w:r w:rsidR="00873FE3">
        <w:t>du foyer. Ainsi, en cas de divorce ou de dissolution du PACS, les ex conjoints restent tenus</w:t>
      </w:r>
      <w:r>
        <w:t xml:space="preserve"> </w:t>
      </w:r>
      <w:r w:rsidR="00873FE3">
        <w:t xml:space="preserve">solidairement des sommes dues pendant leur </w:t>
      </w:r>
      <w:r w:rsidR="00BF4ED7">
        <w:t>période commune</w:t>
      </w:r>
      <w:r w:rsidR="00C82DDE">
        <w:t>.</w:t>
      </w:r>
    </w:p>
    <w:p w14:paraId="18BD6503" w14:textId="1EE06820" w:rsidR="00873FE3" w:rsidRPr="00A46DFC" w:rsidRDefault="002243B2" w:rsidP="00873FE3">
      <w:pPr>
        <w:pStyle w:val="Corpsdetexte"/>
        <w:jc w:val="both"/>
      </w:pPr>
      <w:r>
        <w:tab/>
      </w:r>
      <w:r w:rsidR="00873FE3" w:rsidRPr="00A46DFC">
        <w:t>Or, dans certains cas, une dette fiscale peut peser injustement et lourdement sur l’un des ex</w:t>
      </w:r>
      <w:r w:rsidRPr="00A46DFC">
        <w:t xml:space="preserve"> </w:t>
      </w:r>
      <w:r w:rsidR="00873FE3" w:rsidRPr="00A46DFC">
        <w:t xml:space="preserve">conjoints. Il s’agit à plus de </w:t>
      </w:r>
      <w:r w:rsidR="00840493">
        <w:t>9</w:t>
      </w:r>
      <w:r w:rsidR="00873FE3" w:rsidRPr="00A46DFC">
        <w:t>0 % de femmes</w:t>
      </w:r>
      <w:r w:rsidR="00C82DDE" w:rsidRPr="00A46DFC">
        <w:t xml:space="preserve">. </w:t>
      </w:r>
      <w:r w:rsidR="00873FE3" w:rsidRPr="00A46DFC">
        <w:t xml:space="preserve">Leur situation </w:t>
      </w:r>
      <w:r w:rsidR="00C82DDE" w:rsidRPr="00A46DFC">
        <w:t xml:space="preserve">économique peut devenir dramatique avec l’exigence du </w:t>
      </w:r>
      <w:r w:rsidR="00873FE3" w:rsidRPr="00A46DFC">
        <w:t>paiement d’impositions dont elles n’avaient pas</w:t>
      </w:r>
      <w:r w:rsidRPr="00A46DFC">
        <w:t xml:space="preserve"> </w:t>
      </w:r>
      <w:r w:rsidR="00873FE3" w:rsidRPr="00A46DFC">
        <w:t xml:space="preserve">connaissance ou </w:t>
      </w:r>
      <w:r w:rsidR="00BF4ED7" w:rsidRPr="00A46DFC">
        <w:t xml:space="preserve">sur </w:t>
      </w:r>
      <w:r w:rsidR="00873FE3" w:rsidRPr="00A46DFC">
        <w:t>d</w:t>
      </w:r>
      <w:r w:rsidR="00C82DDE" w:rsidRPr="00A46DFC">
        <w:t>e</w:t>
      </w:r>
      <w:r w:rsidR="00BF4ED7" w:rsidRPr="00A46DFC">
        <w:t>s</w:t>
      </w:r>
      <w:r w:rsidR="00C82DDE" w:rsidRPr="00A46DFC">
        <w:t xml:space="preserve"> revenus don</w:t>
      </w:r>
      <w:r w:rsidR="00873FE3" w:rsidRPr="00A46DFC">
        <w:t>t elles n’ont pas bénéficié.</w:t>
      </w:r>
    </w:p>
    <w:p w14:paraId="3644CA9A" w14:textId="1EEC670C" w:rsidR="00C82DDE" w:rsidRDefault="002243B2" w:rsidP="00BF4ED7">
      <w:pPr>
        <w:pStyle w:val="Corpsdetexte"/>
        <w:jc w:val="both"/>
      </w:pPr>
      <w:r>
        <w:tab/>
      </w:r>
      <w:r w:rsidR="00873FE3">
        <w:t>Pour remédier à ces situations, la loi de finances pour 2008 a créé la décharge de solidarité fiscale</w:t>
      </w:r>
      <w:r>
        <w:t xml:space="preserve"> </w:t>
      </w:r>
      <w:r w:rsidR="00873FE3">
        <w:t>qui doit remplir trois conditions afin d’être acceptée. La troisième, l’exigence d’une disproportion</w:t>
      </w:r>
      <w:r>
        <w:t xml:space="preserve"> </w:t>
      </w:r>
      <w:r w:rsidR="00873FE3">
        <w:t>marquée entre la dette et la situation patrimoniale et financière du débiteur, est difficile à remplir en</w:t>
      </w:r>
      <w:r>
        <w:t xml:space="preserve"> </w:t>
      </w:r>
      <w:r w:rsidR="00873FE3">
        <w:t xml:space="preserve">raison de l’interprétation extensive de la loi faite par l’Administration fiscale. </w:t>
      </w:r>
    </w:p>
    <w:p w14:paraId="5D965888" w14:textId="7AFED4D2" w:rsidR="00C82DDE" w:rsidRPr="00C82DDE" w:rsidRDefault="00C82DDE" w:rsidP="00BF4ED7">
      <w:pPr>
        <w:pStyle w:val="Jlb2"/>
        <w:jc w:val="both"/>
        <w:rPr>
          <w:rFonts w:ascii="Times New Roman" w:hAnsi="Times New Roman" w:cs="Times New Roman"/>
          <w:sz w:val="24"/>
        </w:rPr>
      </w:pPr>
      <w:r w:rsidRPr="00C82DDE">
        <w:rPr>
          <w:rFonts w:ascii="Times New Roman" w:hAnsi="Times New Roman" w:cs="Times New Roman"/>
          <w:sz w:val="24"/>
        </w:rPr>
        <w:tab/>
      </w:r>
      <w:r w:rsidR="00873FE3" w:rsidRPr="00C82DDE">
        <w:rPr>
          <w:rFonts w:ascii="Times New Roman" w:hAnsi="Times New Roman" w:cs="Times New Roman"/>
          <w:sz w:val="24"/>
        </w:rPr>
        <w:t>La loi de finances 2022 a assoupli une des conditions</w:t>
      </w:r>
      <w:r w:rsidR="002243B2" w:rsidRPr="00C82DDE">
        <w:rPr>
          <w:rFonts w:ascii="Times New Roman" w:hAnsi="Times New Roman" w:cs="Times New Roman"/>
          <w:sz w:val="24"/>
        </w:rPr>
        <w:t xml:space="preserve"> </w:t>
      </w:r>
      <w:r w:rsidR="00873FE3" w:rsidRPr="00C82DDE">
        <w:rPr>
          <w:rFonts w:ascii="Times New Roman" w:hAnsi="Times New Roman" w:cs="Times New Roman"/>
          <w:sz w:val="24"/>
        </w:rPr>
        <w:t>d’appréciation</w:t>
      </w:r>
      <w:r>
        <w:t>,</w:t>
      </w:r>
      <w:r w:rsidR="00873FE3" w:rsidRPr="00C82DDE">
        <w:rPr>
          <w:rFonts w:ascii="Times New Roman" w:hAnsi="Times New Roman" w:cs="Times New Roman"/>
          <w:sz w:val="24"/>
        </w:rPr>
        <w:t xml:space="preserve"> </w:t>
      </w:r>
      <w:r w:rsidRPr="00BF4ED7">
        <w:rPr>
          <w:rFonts w:ascii="Times New Roman" w:hAnsi="Times New Roman" w:cs="Times New Roman"/>
          <w:sz w:val="24"/>
        </w:rPr>
        <w:t xml:space="preserve">celle </w:t>
      </w:r>
      <w:r w:rsidR="00873FE3" w:rsidRPr="00BF4ED7">
        <w:rPr>
          <w:rFonts w:ascii="Times New Roman" w:hAnsi="Times New Roman" w:cs="Times New Roman"/>
          <w:sz w:val="24"/>
        </w:rPr>
        <w:t>de la</w:t>
      </w:r>
      <w:r w:rsidR="00873FE3" w:rsidRPr="00C82DDE">
        <w:rPr>
          <w:rFonts w:ascii="Times New Roman" w:hAnsi="Times New Roman" w:cs="Times New Roman"/>
          <w:sz w:val="24"/>
        </w:rPr>
        <w:t xml:space="preserve"> situation financière en réduisant de 10 ans à 3 ans la période de paiement par</w:t>
      </w:r>
      <w:r w:rsidR="002243B2" w:rsidRPr="00C82DDE">
        <w:rPr>
          <w:rFonts w:ascii="Times New Roman" w:hAnsi="Times New Roman" w:cs="Times New Roman"/>
          <w:sz w:val="24"/>
        </w:rPr>
        <w:t xml:space="preserve"> </w:t>
      </w:r>
      <w:r w:rsidR="00873FE3" w:rsidRPr="00C82DDE">
        <w:rPr>
          <w:rFonts w:ascii="Times New Roman" w:hAnsi="Times New Roman" w:cs="Times New Roman"/>
          <w:sz w:val="24"/>
        </w:rPr>
        <w:t xml:space="preserve">les revenus nets de charge. </w:t>
      </w:r>
      <w:r w:rsidRPr="00C82DDE">
        <w:rPr>
          <w:rFonts w:ascii="Times New Roman" w:hAnsi="Times New Roman" w:cs="Times New Roman"/>
          <w:sz w:val="24"/>
        </w:rPr>
        <w:t xml:space="preserve">L’assouplissement </w:t>
      </w:r>
      <w:r>
        <w:rPr>
          <w:rFonts w:ascii="Times New Roman" w:hAnsi="Times New Roman" w:cs="Times New Roman"/>
          <w:sz w:val="24"/>
        </w:rPr>
        <w:t xml:space="preserve">obtenu </w:t>
      </w:r>
      <w:r w:rsidRPr="00C82DDE">
        <w:rPr>
          <w:rFonts w:ascii="Times New Roman" w:hAnsi="Times New Roman" w:cs="Times New Roman"/>
          <w:sz w:val="24"/>
        </w:rPr>
        <w:t>n’a pas eu l’effet escompté</w:t>
      </w:r>
      <w:r w:rsidR="00BF4ED7">
        <w:rPr>
          <w:rFonts w:ascii="Times New Roman" w:hAnsi="Times New Roman" w:cs="Times New Roman"/>
          <w:sz w:val="24"/>
        </w:rPr>
        <w:t>,</w:t>
      </w:r>
      <w:r w:rsidRPr="00C82DDE">
        <w:rPr>
          <w:rFonts w:ascii="Times New Roman" w:hAnsi="Times New Roman" w:cs="Times New Roman"/>
          <w:sz w:val="24"/>
        </w:rPr>
        <w:t xml:space="preserve"> en tout cas insuffisant.</w:t>
      </w:r>
      <w:r>
        <w:rPr>
          <w:rFonts w:ascii="Times New Roman" w:hAnsi="Times New Roman" w:cs="Times New Roman"/>
          <w:sz w:val="24"/>
        </w:rPr>
        <w:t xml:space="preserve"> Ainsi </w:t>
      </w:r>
      <w:r w:rsidRPr="00C82DDE">
        <w:rPr>
          <w:rFonts w:ascii="Times New Roman" w:hAnsi="Times New Roman" w:cs="Times New Roman"/>
          <w:sz w:val="24"/>
        </w:rPr>
        <w:t>59 % des demandes de décharge sont toujours rejetées en 2022</w:t>
      </w:r>
      <w:r w:rsidR="00BF4ED7">
        <w:rPr>
          <w:rFonts w:ascii="Times New Roman" w:hAnsi="Times New Roman" w:cs="Times New Roman"/>
          <w:sz w:val="24"/>
        </w:rPr>
        <w:t>. C</w:t>
      </w:r>
      <w:r w:rsidRPr="00C82DDE">
        <w:rPr>
          <w:rFonts w:ascii="Times New Roman" w:hAnsi="Times New Roman" w:cs="Times New Roman"/>
          <w:sz w:val="24"/>
        </w:rPr>
        <w:t>’est mieux qu’auparavant quand le taux de rejet était de 70%. (Rapporteur de la Commission des Finances.2023)</w:t>
      </w:r>
    </w:p>
    <w:p w14:paraId="6BCF40F4" w14:textId="4FA9699C" w:rsidR="00C82DDE" w:rsidRPr="00C82DDE" w:rsidRDefault="00C82DDE" w:rsidP="00BF4ED7">
      <w:pPr>
        <w:pStyle w:val="Jlb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82DDE">
        <w:rPr>
          <w:rFonts w:ascii="Times New Roman" w:hAnsi="Times New Roman" w:cs="Times New Roman"/>
          <w:sz w:val="24"/>
        </w:rPr>
        <w:t xml:space="preserve">La raison de cet échec réside dans le fait que la situation patrimoniale est examinée </w:t>
      </w:r>
      <w:r w:rsidRPr="00BF4ED7">
        <w:rPr>
          <w:rFonts w:ascii="Times New Roman" w:hAnsi="Times New Roman" w:cs="Times New Roman"/>
          <w:sz w:val="24"/>
        </w:rPr>
        <w:t xml:space="preserve">préalablement </w:t>
      </w:r>
      <w:r w:rsidRPr="00C82DDE">
        <w:rPr>
          <w:rFonts w:ascii="Times New Roman" w:hAnsi="Times New Roman" w:cs="Times New Roman"/>
          <w:sz w:val="24"/>
        </w:rPr>
        <w:t>à la situation financière. Dès que le patrimoine est supérieur à la dette, la décharge est rejetée et la situation financière n’est pas prise en compte.</w:t>
      </w:r>
    </w:p>
    <w:p w14:paraId="7C66A7DF" w14:textId="394BA46E" w:rsidR="00873FE3" w:rsidRDefault="002243B2" w:rsidP="00BF4ED7">
      <w:pPr>
        <w:pStyle w:val="Corpsdetexte"/>
        <w:jc w:val="both"/>
      </w:pPr>
      <w:r w:rsidRPr="00C82DDE">
        <w:tab/>
      </w:r>
      <w:r w:rsidR="00873FE3" w:rsidRPr="00C82DDE">
        <w:t>Cet amendement vise à encadrer l'appréciation de la situation</w:t>
      </w:r>
      <w:r w:rsidRPr="00C82DDE">
        <w:t xml:space="preserve"> </w:t>
      </w:r>
      <w:r w:rsidR="00873FE3" w:rsidRPr="00C82DDE">
        <w:t>patrimoniale du demandeur et ainsi exclure la résidence principale dont le demandeur est</w:t>
      </w:r>
      <w:r w:rsidRPr="00C82DDE">
        <w:t xml:space="preserve"> </w:t>
      </w:r>
      <w:r w:rsidR="00873FE3" w:rsidRPr="00C82DDE">
        <w:t>propriétaire</w:t>
      </w:r>
      <w:r w:rsidR="00BF4ED7">
        <w:t xml:space="preserve">, </w:t>
      </w:r>
      <w:r w:rsidR="00873FE3">
        <w:t>les biens immobiliers détenus par le demandeur</w:t>
      </w:r>
      <w:r>
        <w:t xml:space="preserve"> </w:t>
      </w:r>
      <w:r w:rsidR="00873FE3">
        <w:t>antérieurement à la date de son mariage ou de son Pacs, ainsi que le patrimoine du demandeur reçu</w:t>
      </w:r>
      <w:r>
        <w:t xml:space="preserve"> </w:t>
      </w:r>
      <w:r w:rsidR="00873FE3">
        <w:t>par donation ou succession.</w:t>
      </w:r>
    </w:p>
    <w:sectPr w:rsidR="00873FE3">
      <w:pgSz w:w="11910" w:h="16840"/>
      <w:pgMar w:top="500" w:right="1020" w:bottom="1080" w:left="1020" w:header="0" w:footer="8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C500D"/>
    <w:multiLevelType w:val="hybridMultilevel"/>
    <w:tmpl w:val="A8289C0A"/>
    <w:lvl w:ilvl="0" w:tplc="95E0454E">
      <w:start w:val="1"/>
      <w:numFmt w:val="upperRoman"/>
      <w:lvlText w:val="%1."/>
      <w:lvlJc w:val="left"/>
      <w:pPr>
        <w:ind w:left="3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42C2909A">
      <w:numFmt w:val="bullet"/>
      <w:lvlText w:val="•"/>
      <w:lvlJc w:val="left"/>
      <w:pPr>
        <w:ind w:left="1274" w:hanging="200"/>
      </w:pPr>
      <w:rPr>
        <w:rFonts w:hint="default"/>
        <w:lang w:val="fr-FR" w:eastAsia="en-US" w:bidi="ar-SA"/>
      </w:rPr>
    </w:lvl>
    <w:lvl w:ilvl="2" w:tplc="E99476D6">
      <w:numFmt w:val="bullet"/>
      <w:lvlText w:val="•"/>
      <w:lvlJc w:val="left"/>
      <w:pPr>
        <w:ind w:left="2229" w:hanging="200"/>
      </w:pPr>
      <w:rPr>
        <w:rFonts w:hint="default"/>
        <w:lang w:val="fr-FR" w:eastAsia="en-US" w:bidi="ar-SA"/>
      </w:rPr>
    </w:lvl>
    <w:lvl w:ilvl="3" w:tplc="5FE4362A">
      <w:numFmt w:val="bullet"/>
      <w:lvlText w:val="•"/>
      <w:lvlJc w:val="left"/>
      <w:pPr>
        <w:ind w:left="3183" w:hanging="200"/>
      </w:pPr>
      <w:rPr>
        <w:rFonts w:hint="default"/>
        <w:lang w:val="fr-FR" w:eastAsia="en-US" w:bidi="ar-SA"/>
      </w:rPr>
    </w:lvl>
    <w:lvl w:ilvl="4" w:tplc="4EC06C52">
      <w:numFmt w:val="bullet"/>
      <w:lvlText w:val="•"/>
      <w:lvlJc w:val="left"/>
      <w:pPr>
        <w:ind w:left="4138" w:hanging="200"/>
      </w:pPr>
      <w:rPr>
        <w:rFonts w:hint="default"/>
        <w:lang w:val="fr-FR" w:eastAsia="en-US" w:bidi="ar-SA"/>
      </w:rPr>
    </w:lvl>
    <w:lvl w:ilvl="5" w:tplc="FF60C5E0">
      <w:numFmt w:val="bullet"/>
      <w:lvlText w:val="•"/>
      <w:lvlJc w:val="left"/>
      <w:pPr>
        <w:ind w:left="5093" w:hanging="200"/>
      </w:pPr>
      <w:rPr>
        <w:rFonts w:hint="default"/>
        <w:lang w:val="fr-FR" w:eastAsia="en-US" w:bidi="ar-SA"/>
      </w:rPr>
    </w:lvl>
    <w:lvl w:ilvl="6" w:tplc="9AB20AE2">
      <w:numFmt w:val="bullet"/>
      <w:lvlText w:val="•"/>
      <w:lvlJc w:val="left"/>
      <w:pPr>
        <w:ind w:left="6047" w:hanging="200"/>
      </w:pPr>
      <w:rPr>
        <w:rFonts w:hint="default"/>
        <w:lang w:val="fr-FR" w:eastAsia="en-US" w:bidi="ar-SA"/>
      </w:rPr>
    </w:lvl>
    <w:lvl w:ilvl="7" w:tplc="F81ABC8A">
      <w:numFmt w:val="bullet"/>
      <w:lvlText w:val="•"/>
      <w:lvlJc w:val="left"/>
      <w:pPr>
        <w:ind w:left="7002" w:hanging="200"/>
      </w:pPr>
      <w:rPr>
        <w:rFonts w:hint="default"/>
        <w:lang w:val="fr-FR" w:eastAsia="en-US" w:bidi="ar-SA"/>
      </w:rPr>
    </w:lvl>
    <w:lvl w:ilvl="8" w:tplc="A41E99CA">
      <w:numFmt w:val="bullet"/>
      <w:lvlText w:val="•"/>
      <w:lvlJc w:val="left"/>
      <w:pPr>
        <w:ind w:left="7957" w:hanging="200"/>
      </w:pPr>
      <w:rPr>
        <w:rFonts w:hint="default"/>
        <w:lang w:val="fr-FR" w:eastAsia="en-US" w:bidi="ar-SA"/>
      </w:rPr>
    </w:lvl>
  </w:abstractNum>
  <w:num w:numId="1" w16cid:durableId="69114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49"/>
    <w:rsid w:val="00027C9E"/>
    <w:rsid w:val="000B091C"/>
    <w:rsid w:val="000F3A07"/>
    <w:rsid w:val="002243B2"/>
    <w:rsid w:val="002457B8"/>
    <w:rsid w:val="002C1FB5"/>
    <w:rsid w:val="002F5D16"/>
    <w:rsid w:val="003146A6"/>
    <w:rsid w:val="004728F3"/>
    <w:rsid w:val="00544CD7"/>
    <w:rsid w:val="006A34ED"/>
    <w:rsid w:val="006C7690"/>
    <w:rsid w:val="00703144"/>
    <w:rsid w:val="00725EA1"/>
    <w:rsid w:val="00774965"/>
    <w:rsid w:val="007F79A7"/>
    <w:rsid w:val="00840493"/>
    <w:rsid w:val="00861191"/>
    <w:rsid w:val="00873FE3"/>
    <w:rsid w:val="00A46033"/>
    <w:rsid w:val="00A46DFC"/>
    <w:rsid w:val="00A76C49"/>
    <w:rsid w:val="00B22416"/>
    <w:rsid w:val="00B35408"/>
    <w:rsid w:val="00B92434"/>
    <w:rsid w:val="00BF391B"/>
    <w:rsid w:val="00BF4ED7"/>
    <w:rsid w:val="00C53B1D"/>
    <w:rsid w:val="00C82DDE"/>
    <w:rsid w:val="00D46162"/>
    <w:rsid w:val="00E05B7D"/>
    <w:rsid w:val="00E1539C"/>
    <w:rsid w:val="00E222E9"/>
    <w:rsid w:val="00E74241"/>
    <w:rsid w:val="00F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9A4D"/>
  <w15:chartTrackingRefBased/>
  <w15:docId w15:val="{FC6E595B-DA41-43F5-94A1-1AB8FE4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0"/>
  </w:style>
  <w:style w:type="paragraph" w:styleId="Titre1">
    <w:name w:val="heading 1"/>
    <w:basedOn w:val="Normal"/>
    <w:link w:val="Titre1Car"/>
    <w:uiPriority w:val="9"/>
    <w:qFormat/>
    <w:rsid w:val="00C53B1D"/>
    <w:pPr>
      <w:widowControl w:val="0"/>
      <w:autoSpaceDE w:val="0"/>
      <w:autoSpaceDN w:val="0"/>
      <w:spacing w:after="0" w:line="240" w:lineRule="auto"/>
      <w:ind w:left="74" w:right="58"/>
      <w:jc w:val="center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LB1">
    <w:name w:val="JLB1"/>
    <w:basedOn w:val="Index7"/>
    <w:link w:val="JLB1Car"/>
    <w:qFormat/>
    <w:rsid w:val="00BF391B"/>
    <w:pPr>
      <w:ind w:left="1656"/>
    </w:pPr>
    <w:rPr>
      <w:rFonts w:ascii="Trebuchet MS" w:hAnsi="Trebuchet MS"/>
      <w:sz w:val="22"/>
    </w:rPr>
  </w:style>
  <w:style w:type="character" w:customStyle="1" w:styleId="JLB1Car">
    <w:name w:val="JLB1 Car"/>
    <w:basedOn w:val="Policepardfaut"/>
    <w:link w:val="JLB1"/>
    <w:rsid w:val="00BF391B"/>
    <w:rPr>
      <w:rFonts w:ascii="Trebuchet MS" w:hAnsi="Trebuchet MS"/>
      <w:sz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F391B"/>
    <w:pPr>
      <w:spacing w:after="0" w:line="240" w:lineRule="auto"/>
      <w:ind w:left="1680" w:hanging="240"/>
    </w:pPr>
  </w:style>
  <w:style w:type="paragraph" w:customStyle="1" w:styleId="Jlb2">
    <w:name w:val="Jlb2"/>
    <w:basedOn w:val="Normal"/>
    <w:link w:val="Jlb2Car"/>
    <w:qFormat/>
    <w:rsid w:val="00BF391B"/>
    <w:pPr>
      <w:spacing w:after="0"/>
    </w:pPr>
    <w:rPr>
      <w:rFonts w:ascii="Trebuchet MS" w:hAnsi="Trebuchet MS"/>
      <w:sz w:val="22"/>
    </w:rPr>
  </w:style>
  <w:style w:type="character" w:customStyle="1" w:styleId="Jlb2Car">
    <w:name w:val="Jlb2 Car"/>
    <w:basedOn w:val="Policepardfaut"/>
    <w:link w:val="Jlb2"/>
    <w:rsid w:val="00BF391B"/>
    <w:rPr>
      <w:rFonts w:ascii="Trebuchet MS" w:hAnsi="Trebuchet MS"/>
      <w:sz w:val="22"/>
    </w:rPr>
  </w:style>
  <w:style w:type="paragraph" w:styleId="Corpsdetexte">
    <w:name w:val="Body Text"/>
    <w:basedOn w:val="Normal"/>
    <w:link w:val="CorpsdetexteCar"/>
    <w:uiPriority w:val="1"/>
    <w:qFormat/>
    <w:rsid w:val="00C53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C53B1D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C53B1D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Paragraphedeliste">
    <w:name w:val="List Paragraph"/>
    <w:basedOn w:val="Normal"/>
    <w:uiPriority w:val="1"/>
    <w:qFormat/>
    <w:rsid w:val="00C53B1D"/>
    <w:pPr>
      <w:widowControl w:val="0"/>
      <w:autoSpaceDE w:val="0"/>
      <w:autoSpaceDN w:val="0"/>
      <w:spacing w:after="0" w:line="240" w:lineRule="auto"/>
      <w:ind w:left="119" w:hanging="198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amddispotitre">
    <w:name w:val="amddispotitre"/>
    <w:basedOn w:val="Normal"/>
    <w:rsid w:val="00D4616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Bonnefous</dc:creator>
  <cp:keywords/>
  <dc:description/>
  <cp:lastModifiedBy>User</cp:lastModifiedBy>
  <cp:revision>2</cp:revision>
  <cp:lastPrinted>2023-10-05T09:32:00Z</cp:lastPrinted>
  <dcterms:created xsi:type="dcterms:W3CDTF">2023-10-31T15:07:00Z</dcterms:created>
  <dcterms:modified xsi:type="dcterms:W3CDTF">2023-10-31T15:07:00Z</dcterms:modified>
</cp:coreProperties>
</file>