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B1B7" w14:textId="0C16B570" w:rsidR="009E6977" w:rsidRDefault="009E6977" w:rsidP="00F33D5B">
      <w:pPr>
        <w:pStyle w:val="amddispotitre"/>
        <w:widowControl/>
        <w:spacing w:after="100" w:afterAutospacing="1"/>
        <w:jc w:val="center"/>
        <w:rPr>
          <w:sz w:val="21"/>
          <w:szCs w:val="21"/>
        </w:rPr>
      </w:pPr>
      <w:r>
        <w:rPr>
          <w:sz w:val="21"/>
          <w:szCs w:val="21"/>
        </w:rPr>
        <w:t>A</w:t>
      </w:r>
      <w:r w:rsidR="00921D43" w:rsidRPr="00921D43">
        <w:rPr>
          <w:sz w:val="21"/>
          <w:szCs w:val="21"/>
        </w:rPr>
        <w:t>RTICLE ADDITIONNEL</w:t>
      </w:r>
    </w:p>
    <w:p w14:paraId="72513CB3" w14:textId="5968C702" w:rsidR="00921D43" w:rsidRPr="00921D43" w:rsidRDefault="00921D43" w:rsidP="009E6977">
      <w:pPr>
        <w:pStyle w:val="amddispotitre"/>
        <w:widowControl/>
        <w:spacing w:after="280" w:afterAutospacing="1"/>
        <w:jc w:val="center"/>
        <w:rPr>
          <w:sz w:val="21"/>
          <w:szCs w:val="21"/>
        </w:rPr>
      </w:pPr>
      <w:r w:rsidRPr="00921D43">
        <w:rPr>
          <w:sz w:val="21"/>
          <w:szCs w:val="21"/>
        </w:rPr>
        <w:t>APRÈS L'ARTICLE</w:t>
      </w:r>
      <w:r w:rsidR="00D639E3">
        <w:rPr>
          <w:sz w:val="21"/>
          <w:szCs w:val="21"/>
        </w:rPr>
        <w:t xml:space="preserve"> </w:t>
      </w:r>
      <w:r w:rsidR="00F33D5B">
        <w:rPr>
          <w:sz w:val="21"/>
          <w:szCs w:val="21"/>
        </w:rPr>
        <w:t>xxx</w:t>
      </w:r>
      <w:r w:rsidR="0087011A">
        <w:rPr>
          <w:sz w:val="21"/>
          <w:szCs w:val="21"/>
        </w:rPr>
        <w:t xml:space="preserve">  </w:t>
      </w:r>
      <w:r w:rsidRPr="00921D43">
        <w:rPr>
          <w:sz w:val="21"/>
          <w:szCs w:val="21"/>
        </w:rPr>
        <w:t>, insérer l'article suivant :</w:t>
      </w:r>
    </w:p>
    <w:p w14:paraId="639BEE08" w14:textId="7EB57BFA" w:rsidR="00FD1D3B" w:rsidRPr="00F33D5B" w:rsidRDefault="00704839" w:rsidP="00FD1D3B">
      <w:pPr>
        <w:pStyle w:val="Corpsdetexte"/>
        <w:spacing w:before="209" w:line="201" w:lineRule="auto"/>
        <w:ind w:left="615" w:right="124" w:hanging="501"/>
        <w:jc w:val="both"/>
      </w:pPr>
      <w:r w:rsidRPr="00F33D5B">
        <w:t xml:space="preserve">I. – </w:t>
      </w:r>
      <w:r w:rsidR="00FD1D3B" w:rsidRPr="00F33D5B">
        <w:t>Le 2</w:t>
      </w:r>
      <w:r w:rsidR="00FD1D3B" w:rsidRPr="00F33D5B">
        <w:rPr>
          <w:spacing w:val="36"/>
        </w:rPr>
        <w:t xml:space="preserve"> </w:t>
      </w:r>
      <w:r w:rsidR="00FD1D3B" w:rsidRPr="00F33D5B">
        <w:t>du II</w:t>
      </w:r>
      <w:r w:rsidR="00FD1D3B" w:rsidRPr="00F33D5B">
        <w:rPr>
          <w:spacing w:val="36"/>
        </w:rPr>
        <w:t xml:space="preserve"> </w:t>
      </w:r>
      <w:r w:rsidR="00FD1D3B" w:rsidRPr="00F33D5B">
        <w:t>de</w:t>
      </w:r>
      <w:r w:rsidR="00FD1D3B" w:rsidRPr="00F33D5B">
        <w:rPr>
          <w:spacing w:val="36"/>
        </w:rPr>
        <w:t xml:space="preserve"> </w:t>
      </w:r>
      <w:r w:rsidR="00FD1D3B" w:rsidRPr="00F33D5B">
        <w:t>l’article 1691</w:t>
      </w:r>
      <w:r w:rsidR="00FD1D3B" w:rsidRPr="00F33D5B">
        <w:rPr>
          <w:spacing w:val="-2"/>
        </w:rPr>
        <w:t xml:space="preserve"> </w:t>
      </w:r>
      <w:r w:rsidR="00FD1D3B" w:rsidRPr="00F33D5B">
        <w:rPr>
          <w:i/>
        </w:rPr>
        <w:t>bis</w:t>
      </w:r>
      <w:r w:rsidR="00FD1D3B" w:rsidRPr="00F33D5B">
        <w:rPr>
          <w:i/>
          <w:spacing w:val="35"/>
        </w:rPr>
        <w:t xml:space="preserve"> </w:t>
      </w:r>
      <w:r w:rsidR="00FD1D3B" w:rsidRPr="00F33D5B">
        <w:t>du</w:t>
      </w:r>
      <w:r w:rsidR="00FD1D3B" w:rsidRPr="00F33D5B">
        <w:rPr>
          <w:spacing w:val="36"/>
        </w:rPr>
        <w:t xml:space="preserve"> </w:t>
      </w:r>
      <w:r w:rsidR="00FD1D3B" w:rsidRPr="00F33D5B">
        <w:t>code</w:t>
      </w:r>
      <w:r w:rsidR="00FD1D3B" w:rsidRPr="00F33D5B">
        <w:rPr>
          <w:spacing w:val="35"/>
        </w:rPr>
        <w:t xml:space="preserve"> </w:t>
      </w:r>
      <w:r w:rsidR="00FD1D3B" w:rsidRPr="00F33D5B">
        <w:t>général des</w:t>
      </w:r>
      <w:r w:rsidR="00FD1D3B" w:rsidRPr="00F33D5B">
        <w:rPr>
          <w:spacing w:val="35"/>
        </w:rPr>
        <w:t xml:space="preserve"> </w:t>
      </w:r>
      <w:r w:rsidR="00FD1D3B" w:rsidRPr="00F33D5B">
        <w:t>impôts</w:t>
      </w:r>
      <w:r w:rsidR="00FD1D3B" w:rsidRPr="00F33D5B">
        <w:rPr>
          <w:spacing w:val="36"/>
        </w:rPr>
        <w:t xml:space="preserve"> </w:t>
      </w:r>
      <w:r w:rsidR="00FD1D3B" w:rsidRPr="00F33D5B">
        <w:t>est</w:t>
      </w:r>
      <w:r w:rsidR="00FD1D3B" w:rsidRPr="00F33D5B">
        <w:rPr>
          <w:spacing w:val="36"/>
        </w:rPr>
        <w:t xml:space="preserve"> </w:t>
      </w:r>
      <w:r w:rsidR="00FD1D3B" w:rsidRPr="00F33D5B">
        <w:t>ainsi modifié :</w:t>
      </w:r>
    </w:p>
    <w:p w14:paraId="70078358" w14:textId="13622D12" w:rsidR="00FD1D3B" w:rsidRPr="00F33D5B" w:rsidRDefault="00FD1D3B" w:rsidP="00FD1D3B">
      <w:pPr>
        <w:pStyle w:val="Corpsdetexte"/>
        <w:spacing w:before="202" w:line="220" w:lineRule="auto"/>
        <w:ind w:left="615" w:right="124" w:hanging="501"/>
        <w:jc w:val="both"/>
      </w:pPr>
      <w:r w:rsidRPr="00F33D5B">
        <w:rPr>
          <w:b/>
          <w:spacing w:val="80"/>
          <w:w w:val="150"/>
          <w:position w:val="-3"/>
        </w:rPr>
        <w:t xml:space="preserve">   </w:t>
      </w:r>
      <w:r w:rsidRPr="00F33D5B">
        <w:t>1° Au</w:t>
      </w:r>
      <w:r w:rsidRPr="00F33D5B">
        <w:rPr>
          <w:spacing w:val="40"/>
        </w:rPr>
        <w:t xml:space="preserve"> </w:t>
      </w:r>
      <w:r w:rsidRPr="00F33D5B">
        <w:t>premier</w:t>
      </w:r>
      <w:r w:rsidRPr="00F33D5B">
        <w:rPr>
          <w:spacing w:val="40"/>
        </w:rPr>
        <w:t xml:space="preserve"> </w:t>
      </w:r>
      <w:r w:rsidRPr="00F33D5B">
        <w:t>alinéa,</w:t>
      </w:r>
      <w:r w:rsidRPr="00F33D5B">
        <w:rPr>
          <w:spacing w:val="40"/>
        </w:rPr>
        <w:t xml:space="preserve"> </w:t>
      </w:r>
      <w:r w:rsidRPr="00F33D5B">
        <w:t>les</w:t>
      </w:r>
      <w:r w:rsidRPr="00F33D5B">
        <w:rPr>
          <w:spacing w:val="40"/>
        </w:rPr>
        <w:t xml:space="preserve"> </w:t>
      </w:r>
      <w:r w:rsidRPr="00F33D5B">
        <w:t>mots :</w:t>
      </w:r>
      <w:r w:rsidRPr="00F33D5B">
        <w:rPr>
          <w:spacing w:val="40"/>
        </w:rPr>
        <w:t xml:space="preserve"> </w:t>
      </w:r>
      <w:r w:rsidRPr="00F33D5B">
        <w:t>«</w:t>
      </w:r>
      <w:r w:rsidRPr="00F33D5B">
        <w:rPr>
          <w:spacing w:val="-2"/>
        </w:rPr>
        <w:t xml:space="preserve"> </w:t>
      </w:r>
      <w:r w:rsidRPr="00F33D5B">
        <w:t>en</w:t>
      </w:r>
      <w:r w:rsidRPr="00F33D5B">
        <w:rPr>
          <w:spacing w:val="40"/>
        </w:rPr>
        <w:t xml:space="preserve"> </w:t>
      </w:r>
      <w:r w:rsidRPr="00F33D5B">
        <w:t>cas</w:t>
      </w:r>
      <w:r w:rsidRPr="00F33D5B">
        <w:rPr>
          <w:spacing w:val="40"/>
        </w:rPr>
        <w:t xml:space="preserve"> </w:t>
      </w:r>
      <w:r w:rsidRPr="00F33D5B">
        <w:t>de</w:t>
      </w:r>
      <w:r w:rsidRPr="00F33D5B">
        <w:rPr>
          <w:spacing w:val="40"/>
        </w:rPr>
        <w:t xml:space="preserve"> </w:t>
      </w:r>
      <w:r w:rsidRPr="00F33D5B">
        <w:t>disproportion</w:t>
      </w:r>
      <w:r w:rsidRPr="00F33D5B">
        <w:rPr>
          <w:spacing w:val="40"/>
        </w:rPr>
        <w:t xml:space="preserve"> </w:t>
      </w:r>
      <w:r w:rsidRPr="00F33D5B">
        <w:t>marquée entre le montant de la dette fiscale et, à la date de la demande, la situation financière</w:t>
      </w:r>
      <w:r w:rsidRPr="00F33D5B">
        <w:rPr>
          <w:spacing w:val="46"/>
        </w:rPr>
        <w:t xml:space="preserve"> </w:t>
      </w:r>
      <w:r w:rsidRPr="00F33D5B">
        <w:t>et</w:t>
      </w:r>
      <w:r w:rsidRPr="00F33D5B">
        <w:rPr>
          <w:spacing w:val="45"/>
        </w:rPr>
        <w:t xml:space="preserve"> </w:t>
      </w:r>
      <w:r w:rsidRPr="00F33D5B">
        <w:t>patrimoniale,</w:t>
      </w:r>
      <w:r w:rsidRPr="00F33D5B">
        <w:rPr>
          <w:spacing w:val="45"/>
        </w:rPr>
        <w:t xml:space="preserve"> </w:t>
      </w:r>
      <w:r w:rsidRPr="00F33D5B">
        <w:t>nette</w:t>
      </w:r>
      <w:r w:rsidRPr="00F33D5B">
        <w:rPr>
          <w:spacing w:val="45"/>
        </w:rPr>
        <w:t xml:space="preserve"> </w:t>
      </w:r>
      <w:r w:rsidRPr="00F33D5B">
        <w:t>de</w:t>
      </w:r>
      <w:r w:rsidRPr="00F33D5B">
        <w:rPr>
          <w:spacing w:val="44"/>
        </w:rPr>
        <w:t xml:space="preserve"> </w:t>
      </w:r>
      <w:r w:rsidRPr="00F33D5B">
        <w:t>charges,</w:t>
      </w:r>
      <w:r w:rsidRPr="00F33D5B">
        <w:rPr>
          <w:spacing w:val="45"/>
        </w:rPr>
        <w:t xml:space="preserve"> </w:t>
      </w:r>
      <w:r w:rsidRPr="00F33D5B">
        <w:t>du</w:t>
      </w:r>
      <w:r w:rsidRPr="00F33D5B">
        <w:rPr>
          <w:spacing w:val="44"/>
        </w:rPr>
        <w:t xml:space="preserve"> </w:t>
      </w:r>
      <w:r w:rsidRPr="00F33D5B">
        <w:t>demandeur.</w:t>
      </w:r>
      <w:r w:rsidRPr="00F33D5B">
        <w:rPr>
          <w:spacing w:val="45"/>
        </w:rPr>
        <w:t xml:space="preserve"> </w:t>
      </w:r>
      <w:r w:rsidRPr="00F33D5B">
        <w:t>La</w:t>
      </w:r>
      <w:r w:rsidRPr="00F33D5B">
        <w:rPr>
          <w:spacing w:val="47"/>
        </w:rPr>
        <w:t xml:space="preserve"> </w:t>
      </w:r>
      <w:r w:rsidRPr="00F33D5B">
        <w:rPr>
          <w:spacing w:val="-2"/>
        </w:rPr>
        <w:t xml:space="preserve">situation </w:t>
      </w:r>
      <w:r w:rsidRPr="00F33D5B">
        <w:t>financière nette du demandeur est appréciée sur une période n’excédant pas trois années. La décharge de l’obligation de paiement est alors prononcée selon les modalités suivantes : » sont remplacés par le signe : « : ».</w:t>
      </w:r>
    </w:p>
    <w:p w14:paraId="6B46AA06" w14:textId="7E4E972D" w:rsidR="00FD1D3B" w:rsidRPr="00F33D5B" w:rsidRDefault="00FD1D3B" w:rsidP="00FD1D3B">
      <w:pPr>
        <w:pStyle w:val="Corpsdetexte"/>
        <w:spacing w:before="172"/>
        <w:ind w:left="115"/>
        <w:jc w:val="both"/>
      </w:pPr>
      <w:r w:rsidRPr="00F33D5B">
        <w:rPr>
          <w:b/>
          <w:spacing w:val="68"/>
          <w:w w:val="150"/>
          <w:position w:val="-3"/>
        </w:rPr>
        <w:t xml:space="preserve">   </w:t>
      </w:r>
      <w:r w:rsidRPr="00F33D5B">
        <w:t>2°</w:t>
      </w:r>
      <w:r w:rsidRPr="00F33D5B">
        <w:rPr>
          <w:spacing w:val="2"/>
        </w:rPr>
        <w:t xml:space="preserve"> </w:t>
      </w:r>
      <w:r w:rsidRPr="00F33D5B">
        <w:t>Après</w:t>
      </w:r>
      <w:r w:rsidRPr="00F33D5B">
        <w:rPr>
          <w:spacing w:val="3"/>
        </w:rPr>
        <w:t xml:space="preserve"> </w:t>
      </w:r>
      <w:r w:rsidRPr="00F33D5B">
        <w:t>le</w:t>
      </w:r>
      <w:r w:rsidRPr="00F33D5B">
        <w:rPr>
          <w:spacing w:val="3"/>
        </w:rPr>
        <w:t xml:space="preserve"> </w:t>
      </w:r>
      <w:r w:rsidRPr="00F33D5B">
        <w:t>même</w:t>
      </w:r>
      <w:r w:rsidRPr="00F33D5B">
        <w:rPr>
          <w:spacing w:val="2"/>
        </w:rPr>
        <w:t xml:space="preserve"> </w:t>
      </w:r>
      <w:r w:rsidRPr="00F33D5B">
        <w:t>premier</w:t>
      </w:r>
      <w:r w:rsidRPr="00F33D5B">
        <w:rPr>
          <w:spacing w:val="1"/>
        </w:rPr>
        <w:t xml:space="preserve"> </w:t>
      </w:r>
      <w:r w:rsidRPr="00F33D5B">
        <w:t>alinéa,</w:t>
      </w:r>
      <w:r w:rsidRPr="00F33D5B">
        <w:rPr>
          <w:spacing w:val="1"/>
        </w:rPr>
        <w:t xml:space="preserve"> </w:t>
      </w:r>
      <w:r w:rsidRPr="00F33D5B">
        <w:t>il</w:t>
      </w:r>
      <w:r w:rsidRPr="00F33D5B">
        <w:rPr>
          <w:spacing w:val="1"/>
        </w:rPr>
        <w:t xml:space="preserve"> </w:t>
      </w:r>
      <w:r w:rsidRPr="00F33D5B">
        <w:t>est</w:t>
      </w:r>
      <w:r w:rsidRPr="00F33D5B">
        <w:rPr>
          <w:spacing w:val="2"/>
        </w:rPr>
        <w:t xml:space="preserve"> </w:t>
      </w:r>
      <w:r w:rsidRPr="00F33D5B">
        <w:t>inséré</w:t>
      </w:r>
      <w:r w:rsidRPr="00F33D5B">
        <w:rPr>
          <w:spacing w:val="3"/>
        </w:rPr>
        <w:t xml:space="preserve"> </w:t>
      </w:r>
      <w:r w:rsidRPr="00F33D5B">
        <w:t>un</w:t>
      </w:r>
      <w:r w:rsidRPr="00F33D5B">
        <w:rPr>
          <w:spacing w:val="1"/>
        </w:rPr>
        <w:t xml:space="preserve"> </w:t>
      </w:r>
      <w:r w:rsidRPr="00F33D5B">
        <w:t>1°</w:t>
      </w:r>
      <w:r w:rsidRPr="00F33D5B">
        <w:rPr>
          <w:spacing w:val="2"/>
        </w:rPr>
        <w:t xml:space="preserve"> </w:t>
      </w:r>
      <w:r w:rsidRPr="00F33D5B">
        <w:t>ainsi rédigé</w:t>
      </w:r>
      <w:r w:rsidRPr="00F33D5B">
        <w:rPr>
          <w:spacing w:val="3"/>
        </w:rPr>
        <w:t xml:space="preserve"> </w:t>
      </w:r>
      <w:r w:rsidRPr="00F33D5B">
        <w:rPr>
          <w:spacing w:val="-10"/>
        </w:rPr>
        <w:t>:</w:t>
      </w:r>
    </w:p>
    <w:p w14:paraId="41DBB507" w14:textId="77777777" w:rsidR="00704839" w:rsidRPr="00F33D5B" w:rsidRDefault="00FD1D3B" w:rsidP="00704839">
      <w:pPr>
        <w:pStyle w:val="Corpsdetexte"/>
        <w:spacing w:before="144" w:line="220" w:lineRule="auto"/>
        <w:ind w:left="615" w:right="122" w:hanging="501"/>
        <w:jc w:val="both"/>
      </w:pPr>
      <w:r w:rsidRPr="00F33D5B">
        <w:rPr>
          <w:b/>
          <w:spacing w:val="80"/>
          <w:position w:val="-3"/>
        </w:rPr>
        <w:t xml:space="preserve">   </w:t>
      </w:r>
      <w:r w:rsidRPr="00F33D5B">
        <w:t>«</w:t>
      </w:r>
      <w:r w:rsidRPr="00F33D5B">
        <w:rPr>
          <w:spacing w:val="-2"/>
        </w:rPr>
        <w:t xml:space="preserve"> </w:t>
      </w:r>
      <w:bookmarkStart w:id="0" w:name="_Hlk147325322"/>
      <w:r w:rsidRPr="00F33D5B">
        <w:t>1° Dans le cas de disproportion marquée entre le montant de la dette fiscale et, à la date de la demande, la situation financière et patrimoniale,</w:t>
      </w:r>
      <w:r w:rsidRPr="00F33D5B">
        <w:rPr>
          <w:spacing w:val="17"/>
        </w:rPr>
        <w:t xml:space="preserve"> </w:t>
      </w:r>
      <w:r w:rsidRPr="00F33D5B">
        <w:t>nette</w:t>
      </w:r>
      <w:r w:rsidRPr="00F33D5B">
        <w:rPr>
          <w:spacing w:val="17"/>
        </w:rPr>
        <w:t xml:space="preserve"> </w:t>
      </w:r>
      <w:r w:rsidRPr="00F33D5B">
        <w:t>de</w:t>
      </w:r>
      <w:r w:rsidRPr="00F33D5B">
        <w:rPr>
          <w:spacing w:val="18"/>
        </w:rPr>
        <w:t xml:space="preserve"> </w:t>
      </w:r>
      <w:r w:rsidRPr="00F33D5B">
        <w:t>charges,</w:t>
      </w:r>
      <w:r w:rsidRPr="00F33D5B">
        <w:rPr>
          <w:spacing w:val="17"/>
        </w:rPr>
        <w:t xml:space="preserve"> </w:t>
      </w:r>
      <w:r w:rsidRPr="00F33D5B">
        <w:t>du</w:t>
      </w:r>
      <w:r w:rsidRPr="00F33D5B">
        <w:rPr>
          <w:spacing w:val="17"/>
        </w:rPr>
        <w:t xml:space="preserve"> </w:t>
      </w:r>
      <w:r w:rsidRPr="00F33D5B">
        <w:t>demandeur.</w:t>
      </w:r>
      <w:r w:rsidRPr="00F33D5B">
        <w:rPr>
          <w:spacing w:val="17"/>
        </w:rPr>
        <w:t xml:space="preserve"> </w:t>
      </w:r>
      <w:r w:rsidRPr="00F33D5B">
        <w:t>La</w:t>
      </w:r>
      <w:r w:rsidRPr="00F33D5B">
        <w:rPr>
          <w:spacing w:val="17"/>
        </w:rPr>
        <w:t xml:space="preserve"> </w:t>
      </w:r>
      <w:r w:rsidRPr="00F33D5B">
        <w:t>situation</w:t>
      </w:r>
      <w:r w:rsidRPr="00F33D5B">
        <w:rPr>
          <w:spacing w:val="18"/>
        </w:rPr>
        <w:t xml:space="preserve"> </w:t>
      </w:r>
      <w:r w:rsidRPr="00F33D5B">
        <w:t>financière</w:t>
      </w:r>
      <w:r w:rsidRPr="00F33D5B">
        <w:rPr>
          <w:spacing w:val="17"/>
        </w:rPr>
        <w:t xml:space="preserve"> </w:t>
      </w:r>
      <w:r w:rsidRPr="00F33D5B">
        <w:rPr>
          <w:spacing w:val="-2"/>
        </w:rPr>
        <w:t xml:space="preserve">nette </w:t>
      </w:r>
      <w:r w:rsidRPr="00F33D5B">
        <w:t>du demandeur est appréciée sur une période n’excédant pas trois années.»</w:t>
      </w:r>
      <w:bookmarkEnd w:id="0"/>
    </w:p>
    <w:p w14:paraId="364D42C5" w14:textId="24BCA37D" w:rsidR="00FD1D3B" w:rsidRPr="00F33D5B" w:rsidRDefault="00FD1D3B" w:rsidP="00704839">
      <w:pPr>
        <w:pStyle w:val="Corpsdetexte"/>
        <w:spacing w:before="144" w:line="220" w:lineRule="auto"/>
        <w:ind w:left="615" w:right="122" w:hanging="501"/>
        <w:jc w:val="both"/>
      </w:pPr>
      <w:r w:rsidRPr="00F33D5B">
        <w:rPr>
          <w:b/>
          <w:spacing w:val="67"/>
          <w:w w:val="150"/>
          <w:position w:val="-3"/>
        </w:rPr>
        <w:t xml:space="preserve">   </w:t>
      </w:r>
      <w:r w:rsidRPr="00F33D5B">
        <w:t>3°</w:t>
      </w:r>
      <w:r w:rsidRPr="00F33D5B">
        <w:rPr>
          <w:spacing w:val="5"/>
        </w:rPr>
        <w:t xml:space="preserve"> </w:t>
      </w:r>
      <w:r w:rsidRPr="00F33D5B">
        <w:t>Est</w:t>
      </w:r>
      <w:r w:rsidRPr="00F33D5B">
        <w:rPr>
          <w:spacing w:val="2"/>
        </w:rPr>
        <w:t xml:space="preserve"> </w:t>
      </w:r>
      <w:r w:rsidRPr="00F33D5B">
        <w:t>ajouté</w:t>
      </w:r>
      <w:r w:rsidRPr="00F33D5B">
        <w:rPr>
          <w:spacing w:val="1"/>
        </w:rPr>
        <w:t xml:space="preserve"> </w:t>
      </w:r>
      <w:r w:rsidRPr="00F33D5B">
        <w:t>un</w:t>
      </w:r>
      <w:r w:rsidRPr="00F33D5B">
        <w:rPr>
          <w:spacing w:val="2"/>
        </w:rPr>
        <w:t xml:space="preserve"> </w:t>
      </w:r>
      <w:r w:rsidRPr="00F33D5B">
        <w:t>2° ainsi</w:t>
      </w:r>
      <w:r w:rsidRPr="00F33D5B">
        <w:rPr>
          <w:spacing w:val="2"/>
        </w:rPr>
        <w:t xml:space="preserve"> </w:t>
      </w:r>
      <w:r w:rsidRPr="00F33D5B">
        <w:t>rédigé</w:t>
      </w:r>
      <w:r w:rsidRPr="00F33D5B">
        <w:rPr>
          <w:spacing w:val="2"/>
        </w:rPr>
        <w:t xml:space="preserve"> </w:t>
      </w:r>
      <w:r w:rsidRPr="00F33D5B">
        <w:rPr>
          <w:spacing w:val="-10"/>
        </w:rPr>
        <w:t>:</w:t>
      </w:r>
    </w:p>
    <w:p w14:paraId="4D07543C" w14:textId="73D8B2FF" w:rsidR="00FD1D3B" w:rsidRPr="00F33D5B" w:rsidRDefault="00FD1D3B" w:rsidP="00FD1D3B">
      <w:pPr>
        <w:pStyle w:val="Corpsdetexte"/>
        <w:spacing w:before="162" w:line="201" w:lineRule="auto"/>
        <w:ind w:left="615" w:right="123" w:hanging="501"/>
        <w:jc w:val="both"/>
      </w:pPr>
      <w:r w:rsidRPr="00F33D5B">
        <w:rPr>
          <w:b/>
          <w:spacing w:val="80"/>
          <w:position w:val="-3"/>
        </w:rPr>
        <w:t xml:space="preserve">   </w:t>
      </w:r>
      <w:r w:rsidRPr="00F33D5B">
        <w:t>«</w:t>
      </w:r>
      <w:bookmarkStart w:id="1" w:name="_Hlk147325406"/>
      <w:r w:rsidRPr="00F33D5B">
        <w:rPr>
          <w:spacing w:val="-2"/>
        </w:rPr>
        <w:t xml:space="preserve"> </w:t>
      </w:r>
      <w:r w:rsidRPr="00F33D5B">
        <w:t>2°</w:t>
      </w:r>
      <w:r w:rsidRPr="00F33D5B">
        <w:rPr>
          <w:spacing w:val="-1"/>
        </w:rPr>
        <w:t xml:space="preserve"> </w:t>
      </w:r>
      <w:r w:rsidRPr="00F33D5B">
        <w:t>Dans le cas où le montant de la dette fiscale résulte d’un contrôle fiscal personnel de son ancien conjoint ou partenaire de pacte civil de solidarité</w:t>
      </w:r>
      <w:r w:rsidRPr="00F33D5B">
        <w:rPr>
          <w:spacing w:val="62"/>
          <w:w w:val="150"/>
        </w:rPr>
        <w:t xml:space="preserve"> </w:t>
      </w:r>
      <w:r w:rsidRPr="00F33D5B">
        <w:t>ayant</w:t>
      </w:r>
      <w:r w:rsidRPr="00F33D5B">
        <w:rPr>
          <w:spacing w:val="62"/>
          <w:w w:val="150"/>
        </w:rPr>
        <w:t xml:space="preserve"> </w:t>
      </w:r>
      <w:r w:rsidRPr="00F33D5B">
        <w:t>donné</w:t>
      </w:r>
      <w:r w:rsidRPr="00F33D5B">
        <w:rPr>
          <w:spacing w:val="62"/>
          <w:w w:val="150"/>
        </w:rPr>
        <w:t xml:space="preserve"> </w:t>
      </w:r>
      <w:r w:rsidRPr="00F33D5B">
        <w:t>lieu,</w:t>
      </w:r>
      <w:r w:rsidRPr="00F33D5B">
        <w:rPr>
          <w:spacing w:val="62"/>
          <w:w w:val="150"/>
        </w:rPr>
        <w:t xml:space="preserve"> </w:t>
      </w:r>
      <w:r w:rsidRPr="00F33D5B">
        <w:t>par</w:t>
      </w:r>
      <w:r w:rsidRPr="00F33D5B">
        <w:rPr>
          <w:spacing w:val="62"/>
          <w:w w:val="150"/>
        </w:rPr>
        <w:t xml:space="preserve"> </w:t>
      </w:r>
      <w:r w:rsidRPr="00F33D5B">
        <w:t>suite</w:t>
      </w:r>
      <w:r w:rsidRPr="00F33D5B">
        <w:rPr>
          <w:spacing w:val="62"/>
          <w:w w:val="150"/>
        </w:rPr>
        <w:t xml:space="preserve"> </w:t>
      </w:r>
      <w:r w:rsidRPr="00F33D5B">
        <w:t>d’un</w:t>
      </w:r>
      <w:r w:rsidRPr="00F33D5B">
        <w:rPr>
          <w:spacing w:val="63"/>
          <w:w w:val="150"/>
        </w:rPr>
        <w:t xml:space="preserve"> </w:t>
      </w:r>
      <w:r w:rsidRPr="00F33D5B">
        <w:t>manquement</w:t>
      </w:r>
      <w:r w:rsidRPr="00F33D5B">
        <w:rPr>
          <w:spacing w:val="62"/>
          <w:w w:val="150"/>
        </w:rPr>
        <w:t xml:space="preserve"> </w:t>
      </w:r>
      <w:r w:rsidRPr="00F33D5B">
        <w:t>aux</w:t>
      </w:r>
      <w:r w:rsidRPr="00F33D5B">
        <w:rPr>
          <w:spacing w:val="62"/>
          <w:w w:val="150"/>
        </w:rPr>
        <w:t xml:space="preserve"> </w:t>
      </w:r>
      <w:r w:rsidRPr="00F33D5B">
        <w:rPr>
          <w:spacing w:val="-2"/>
        </w:rPr>
        <w:t xml:space="preserve">obligations </w:t>
      </w:r>
      <w:r w:rsidRPr="00F33D5B">
        <w:t>déclaratives, d’une soustraction frauduleuse ou d’une tentative de soustraction</w:t>
      </w:r>
      <w:r w:rsidRPr="00F33D5B">
        <w:rPr>
          <w:spacing w:val="40"/>
        </w:rPr>
        <w:t xml:space="preserve"> </w:t>
      </w:r>
      <w:r w:rsidRPr="00F33D5B">
        <w:t>frauduleuse</w:t>
      </w:r>
      <w:r w:rsidRPr="00F33D5B">
        <w:rPr>
          <w:spacing w:val="40"/>
        </w:rPr>
        <w:t xml:space="preserve"> </w:t>
      </w:r>
      <w:r w:rsidRPr="00F33D5B">
        <w:t>au</w:t>
      </w:r>
      <w:r w:rsidRPr="00F33D5B">
        <w:rPr>
          <w:spacing w:val="40"/>
        </w:rPr>
        <w:t xml:space="preserve"> </w:t>
      </w:r>
      <w:r w:rsidRPr="00F33D5B">
        <w:t>paiement</w:t>
      </w:r>
      <w:r w:rsidRPr="00F33D5B">
        <w:rPr>
          <w:spacing w:val="40"/>
        </w:rPr>
        <w:t xml:space="preserve"> </w:t>
      </w:r>
      <w:r w:rsidRPr="00F33D5B">
        <w:t>des</w:t>
      </w:r>
      <w:r w:rsidRPr="00F33D5B">
        <w:rPr>
          <w:spacing w:val="40"/>
        </w:rPr>
        <w:t xml:space="preserve"> </w:t>
      </w:r>
      <w:r w:rsidRPr="00F33D5B">
        <w:t>impositions</w:t>
      </w:r>
      <w:r w:rsidRPr="00F33D5B">
        <w:rPr>
          <w:spacing w:val="40"/>
        </w:rPr>
        <w:t xml:space="preserve"> </w:t>
      </w:r>
      <w:r w:rsidRPr="00F33D5B">
        <w:t>mentionnées</w:t>
      </w:r>
      <w:r w:rsidRPr="00F33D5B">
        <w:rPr>
          <w:spacing w:val="40"/>
        </w:rPr>
        <w:t xml:space="preserve"> </w:t>
      </w:r>
      <w:r w:rsidRPr="00F33D5B">
        <w:t>au 1° et 2°</w:t>
      </w:r>
      <w:r w:rsidRPr="00F33D5B">
        <w:rPr>
          <w:spacing w:val="40"/>
        </w:rPr>
        <w:t xml:space="preserve"> </w:t>
      </w:r>
      <w:r w:rsidRPr="00F33D5B">
        <w:t>du I</w:t>
      </w:r>
      <w:r w:rsidRPr="00F33D5B">
        <w:rPr>
          <w:spacing w:val="40"/>
        </w:rPr>
        <w:t xml:space="preserve"> </w:t>
      </w:r>
      <w:r w:rsidRPr="00F33D5B">
        <w:t>ainsi</w:t>
      </w:r>
      <w:r w:rsidRPr="00F33D5B">
        <w:rPr>
          <w:spacing w:val="40"/>
        </w:rPr>
        <w:t xml:space="preserve"> </w:t>
      </w:r>
      <w:r w:rsidRPr="00F33D5B">
        <w:t>qu’à</w:t>
      </w:r>
      <w:r w:rsidRPr="00F33D5B">
        <w:rPr>
          <w:spacing w:val="40"/>
        </w:rPr>
        <w:t xml:space="preserve"> </w:t>
      </w:r>
      <w:r w:rsidRPr="00F33D5B">
        <w:t>l’article 1723</w:t>
      </w:r>
      <w:r w:rsidRPr="00F33D5B">
        <w:rPr>
          <w:spacing w:val="-1"/>
        </w:rPr>
        <w:t xml:space="preserve"> </w:t>
      </w:r>
      <w:r w:rsidRPr="00F33D5B">
        <w:rPr>
          <w:i/>
        </w:rPr>
        <w:t>ter</w:t>
      </w:r>
      <w:r w:rsidRPr="00F33D5B">
        <w:t>-00 B,</w:t>
      </w:r>
      <w:r w:rsidRPr="00F33D5B">
        <w:rPr>
          <w:spacing w:val="40"/>
        </w:rPr>
        <w:t xml:space="preserve"> </w:t>
      </w:r>
      <w:r w:rsidRPr="00F33D5B">
        <w:t>à</w:t>
      </w:r>
      <w:r w:rsidRPr="00F33D5B">
        <w:rPr>
          <w:spacing w:val="40"/>
        </w:rPr>
        <w:t xml:space="preserve"> </w:t>
      </w:r>
      <w:r w:rsidRPr="00F33D5B">
        <w:t>une</w:t>
      </w:r>
      <w:r w:rsidRPr="00F33D5B">
        <w:rPr>
          <w:spacing w:val="40"/>
        </w:rPr>
        <w:t xml:space="preserve"> </w:t>
      </w:r>
      <w:r w:rsidRPr="00F33D5B">
        <w:t>rectification</w:t>
      </w:r>
      <w:r w:rsidRPr="00F33D5B">
        <w:rPr>
          <w:spacing w:val="40"/>
        </w:rPr>
        <w:t xml:space="preserve"> </w:t>
      </w:r>
      <w:r w:rsidRPr="00F33D5B">
        <w:t xml:space="preserve">d’un bénéfice ou revenu propre au conjoint ou au partenaire de pacte civil de solidarité du demandeur. La décharge de l’obligation de paiement n’est alors accordée que si le demandeur ne s’est pas enrichi à la faveur de cette fraude fiscale commise par son ancien conjoint ou partenaire de pacte civil de solidarité et n’a pas participé directement ou indirectement à celle-ci. </w:t>
      </w:r>
      <w:bookmarkEnd w:id="1"/>
      <w:r w:rsidRPr="00F33D5B">
        <w:t>»</w:t>
      </w:r>
    </w:p>
    <w:p w14:paraId="2D376561" w14:textId="52E6C60B" w:rsidR="00FD1D3B" w:rsidRPr="00F33D5B" w:rsidRDefault="00FD1D3B" w:rsidP="00FD1D3B">
      <w:pPr>
        <w:pStyle w:val="Corpsdetexte"/>
        <w:spacing w:before="171"/>
        <w:ind w:left="115"/>
        <w:jc w:val="both"/>
        <w:rPr>
          <w:spacing w:val="-10"/>
        </w:rPr>
      </w:pPr>
      <w:r w:rsidRPr="00F33D5B">
        <w:rPr>
          <w:b/>
          <w:spacing w:val="67"/>
          <w:w w:val="150"/>
          <w:position w:val="-3"/>
        </w:rPr>
        <w:t xml:space="preserve">   </w:t>
      </w:r>
      <w:r w:rsidRPr="00F33D5B">
        <w:t>4°</w:t>
      </w:r>
      <w:r w:rsidRPr="00F33D5B">
        <w:rPr>
          <w:spacing w:val="5"/>
        </w:rPr>
        <w:t xml:space="preserve"> </w:t>
      </w:r>
      <w:r w:rsidRPr="00F33D5B">
        <w:t>Est</w:t>
      </w:r>
      <w:r w:rsidRPr="00F33D5B">
        <w:rPr>
          <w:spacing w:val="2"/>
        </w:rPr>
        <w:t xml:space="preserve"> </w:t>
      </w:r>
      <w:r w:rsidRPr="00F33D5B">
        <w:t>ajouté</w:t>
      </w:r>
      <w:r w:rsidRPr="00F33D5B">
        <w:rPr>
          <w:spacing w:val="1"/>
        </w:rPr>
        <w:t xml:space="preserve"> </w:t>
      </w:r>
      <w:r w:rsidRPr="00F33D5B">
        <w:t>un</w:t>
      </w:r>
      <w:r w:rsidRPr="00F33D5B">
        <w:rPr>
          <w:spacing w:val="2"/>
        </w:rPr>
        <w:t xml:space="preserve"> </w:t>
      </w:r>
      <w:r w:rsidRPr="00F33D5B">
        <w:t>3° ainsi</w:t>
      </w:r>
      <w:r w:rsidRPr="00F33D5B">
        <w:rPr>
          <w:spacing w:val="2"/>
        </w:rPr>
        <w:t xml:space="preserve"> </w:t>
      </w:r>
      <w:r w:rsidRPr="00F33D5B">
        <w:t>rédigé</w:t>
      </w:r>
      <w:r w:rsidRPr="00F33D5B">
        <w:rPr>
          <w:spacing w:val="2"/>
        </w:rPr>
        <w:t xml:space="preserve"> </w:t>
      </w:r>
      <w:r w:rsidRPr="00F33D5B">
        <w:rPr>
          <w:spacing w:val="-10"/>
        </w:rPr>
        <w:t>:</w:t>
      </w:r>
    </w:p>
    <w:p w14:paraId="3B128A36" w14:textId="77777777" w:rsidR="00704839" w:rsidRPr="00F33D5B" w:rsidRDefault="00FD1D3B" w:rsidP="00704839">
      <w:pPr>
        <w:pStyle w:val="Corpsdetexte"/>
        <w:spacing w:before="144" w:line="220" w:lineRule="auto"/>
        <w:ind w:left="615" w:right="122" w:hanging="501"/>
        <w:jc w:val="both"/>
      </w:pPr>
      <w:r w:rsidRPr="00F33D5B">
        <w:rPr>
          <w:b/>
          <w:position w:val="-3"/>
        </w:rPr>
        <w:tab/>
      </w:r>
      <w:r w:rsidRPr="00F33D5B">
        <w:rPr>
          <w:bCs/>
          <w:position w:val="-3"/>
        </w:rPr>
        <w:t>« </w:t>
      </w:r>
      <w:r w:rsidRPr="00F33D5B">
        <w:t>3°</w:t>
      </w:r>
      <w:r w:rsidRPr="00F33D5B">
        <w:rPr>
          <w:spacing w:val="-1"/>
        </w:rPr>
        <w:t xml:space="preserve"> </w:t>
      </w:r>
      <w:r w:rsidRPr="00F33D5B">
        <w:t>La décharge de l’obligation de paiement est alors prononcée selon les</w:t>
      </w:r>
      <w:r w:rsidRPr="00F33D5B">
        <w:rPr>
          <w:spacing w:val="80"/>
          <w:w w:val="150"/>
        </w:rPr>
        <w:t xml:space="preserve"> </w:t>
      </w:r>
      <w:r w:rsidRPr="00F33D5B">
        <w:t>modalités suivantes : »</w:t>
      </w:r>
    </w:p>
    <w:p w14:paraId="4FF31825" w14:textId="3C3E45E3" w:rsidR="00FD1D3B" w:rsidRPr="00F33D5B" w:rsidRDefault="00704839" w:rsidP="00704839">
      <w:pPr>
        <w:pStyle w:val="Corpsdetexte"/>
        <w:spacing w:before="144" w:line="220" w:lineRule="auto"/>
        <w:ind w:left="615" w:right="122" w:hanging="501"/>
      </w:pPr>
      <w:r w:rsidRPr="00F33D5B">
        <w:t xml:space="preserve">II. – </w:t>
      </w:r>
      <w:r w:rsidR="00FD1D3B" w:rsidRPr="00F33D5B">
        <w:t>L</w:t>
      </w:r>
      <w:r w:rsidRPr="00F33D5B">
        <w:t>e I</w:t>
      </w:r>
      <w:r w:rsidR="00FD1D3B" w:rsidRPr="00F33D5B">
        <w:rPr>
          <w:spacing w:val="33"/>
        </w:rPr>
        <w:t xml:space="preserve"> </w:t>
      </w:r>
      <w:r w:rsidR="00FD1D3B" w:rsidRPr="00F33D5B">
        <w:t>est</w:t>
      </w:r>
      <w:r w:rsidR="00FD1D3B" w:rsidRPr="00F33D5B">
        <w:rPr>
          <w:spacing w:val="33"/>
        </w:rPr>
        <w:t xml:space="preserve"> </w:t>
      </w:r>
      <w:r w:rsidR="00FD1D3B" w:rsidRPr="00F33D5B">
        <w:t>applicable</w:t>
      </w:r>
      <w:r w:rsidR="00FD1D3B" w:rsidRPr="00F33D5B">
        <w:rPr>
          <w:spacing w:val="33"/>
        </w:rPr>
        <w:t xml:space="preserve"> </w:t>
      </w:r>
      <w:r w:rsidR="00FD1D3B" w:rsidRPr="00F33D5B">
        <w:t>aux</w:t>
      </w:r>
      <w:r w:rsidR="00FD1D3B" w:rsidRPr="00F33D5B">
        <w:rPr>
          <w:spacing w:val="32"/>
        </w:rPr>
        <w:t xml:space="preserve"> </w:t>
      </w:r>
      <w:r w:rsidR="00FD1D3B" w:rsidRPr="00F33D5B">
        <w:t>demandes</w:t>
      </w:r>
      <w:r w:rsidR="00FD1D3B" w:rsidRPr="00F33D5B">
        <w:rPr>
          <w:spacing w:val="33"/>
        </w:rPr>
        <w:t xml:space="preserve"> </w:t>
      </w:r>
      <w:r w:rsidR="00FD1D3B" w:rsidRPr="00F33D5B">
        <w:t>en</w:t>
      </w:r>
      <w:r w:rsidR="00FD1D3B" w:rsidRPr="00F33D5B">
        <w:rPr>
          <w:spacing w:val="33"/>
        </w:rPr>
        <w:t xml:space="preserve"> </w:t>
      </w:r>
      <w:r w:rsidR="00FD1D3B" w:rsidRPr="00F33D5B">
        <w:t>décharge</w:t>
      </w:r>
      <w:r w:rsidR="00FD1D3B" w:rsidRPr="00F33D5B">
        <w:rPr>
          <w:spacing w:val="33"/>
        </w:rPr>
        <w:t xml:space="preserve"> </w:t>
      </w:r>
      <w:r w:rsidR="00FD1D3B" w:rsidRPr="00F33D5B">
        <w:t>de</w:t>
      </w:r>
      <w:r w:rsidR="00FD1D3B" w:rsidRPr="00F33D5B">
        <w:rPr>
          <w:spacing w:val="33"/>
        </w:rPr>
        <w:t xml:space="preserve"> </w:t>
      </w:r>
      <w:r w:rsidR="00FD1D3B" w:rsidRPr="00F33D5B">
        <w:t>l’obligation de paiement</w:t>
      </w:r>
      <w:r w:rsidRPr="00F33D5B">
        <w:t xml:space="preserve"> </w:t>
      </w:r>
      <w:r w:rsidR="00FD1D3B" w:rsidRPr="00F33D5B">
        <w:t>déposées à compter du 1</w:t>
      </w:r>
      <w:r w:rsidR="00FD1D3B" w:rsidRPr="00F33D5B">
        <w:rPr>
          <w:vertAlign w:val="superscript"/>
        </w:rPr>
        <w:t>er</w:t>
      </w:r>
      <w:r w:rsidR="00FD1D3B" w:rsidRPr="00F33D5B">
        <w:t xml:space="preserve"> janvier 2024</w:t>
      </w:r>
    </w:p>
    <w:p w14:paraId="33B55059" w14:textId="77777777" w:rsidR="00704839" w:rsidRPr="00F33D5B" w:rsidRDefault="00704839" w:rsidP="00704839">
      <w:pPr>
        <w:pStyle w:val="Titre1"/>
      </w:pPr>
    </w:p>
    <w:p w14:paraId="10E7FF3F" w14:textId="76C415B0" w:rsidR="00FD1D3B" w:rsidRPr="00F33D5B" w:rsidRDefault="00704839" w:rsidP="001B0D21">
      <w:pPr>
        <w:pStyle w:val="Titre1"/>
        <w:ind w:left="114"/>
        <w:jc w:val="both"/>
        <w:rPr>
          <w:b w:val="0"/>
          <w:bCs w:val="0"/>
        </w:rPr>
      </w:pPr>
      <w:r w:rsidRPr="00F33D5B">
        <w:rPr>
          <w:b w:val="0"/>
          <w:bCs w:val="0"/>
        </w:rPr>
        <w:t xml:space="preserve">III. – </w:t>
      </w:r>
      <w:r w:rsidR="00FD1D3B" w:rsidRPr="00F33D5B">
        <w:rPr>
          <w:b w:val="0"/>
          <w:bCs w:val="0"/>
        </w:rPr>
        <w:t xml:space="preserve">L’augmentation des dépenses pour l’État est compensée à due </w:t>
      </w:r>
      <w:r w:rsidR="001B0D21" w:rsidRPr="00F33D5B">
        <w:rPr>
          <w:b w:val="0"/>
          <w:bCs w:val="0"/>
        </w:rPr>
        <w:t>c</w:t>
      </w:r>
      <w:r w:rsidR="00FD1D3B" w:rsidRPr="00F33D5B">
        <w:rPr>
          <w:b w:val="0"/>
          <w:bCs w:val="0"/>
        </w:rPr>
        <w:t>oncurrence par la création d’une taxe additionnelle à la taxe visée à l’article 235 ter ZD du Code général des impôts.</w:t>
      </w:r>
    </w:p>
    <w:p w14:paraId="1737041A" w14:textId="77777777" w:rsidR="00FD1D3B" w:rsidRDefault="00FD1D3B" w:rsidP="001B0D21">
      <w:pPr>
        <w:spacing w:before="83" w:line="424" w:lineRule="auto"/>
        <w:ind w:left="635" w:right="1388" w:firstLine="1542"/>
        <w:jc w:val="both"/>
        <w:rPr>
          <w:sz w:val="24"/>
          <w:szCs w:val="24"/>
        </w:rPr>
      </w:pPr>
    </w:p>
    <w:p w14:paraId="5B9BFA3A" w14:textId="77777777" w:rsidR="00F33D5B" w:rsidRPr="00F33D5B" w:rsidRDefault="00F33D5B" w:rsidP="001B0D21">
      <w:pPr>
        <w:spacing w:before="83" w:line="424" w:lineRule="auto"/>
        <w:ind w:left="635" w:right="1388" w:firstLine="1542"/>
        <w:jc w:val="both"/>
        <w:rPr>
          <w:sz w:val="24"/>
          <w:szCs w:val="24"/>
        </w:rPr>
      </w:pPr>
    </w:p>
    <w:p w14:paraId="78252796" w14:textId="6B9C4BC4" w:rsidR="00053277" w:rsidRDefault="005B17A7" w:rsidP="009E6977">
      <w:pPr>
        <w:spacing w:before="83" w:line="424" w:lineRule="auto"/>
        <w:ind w:left="745" w:right="1388" w:firstLine="1542"/>
        <w:rPr>
          <w:sz w:val="21"/>
        </w:rPr>
      </w:pPr>
      <w:r>
        <w:rPr>
          <w:sz w:val="21"/>
        </w:rPr>
        <w:lastRenderedPageBreak/>
        <w:t>EX</w:t>
      </w:r>
      <w:r>
        <w:rPr>
          <w:sz w:val="21"/>
        </w:rPr>
        <w:t>POSÉ</w:t>
      </w:r>
      <w:r>
        <w:rPr>
          <w:spacing w:val="-2"/>
          <w:sz w:val="21"/>
        </w:rPr>
        <w:t xml:space="preserve"> </w:t>
      </w:r>
      <w:r w:rsidR="00FD1D3B">
        <w:rPr>
          <w:sz w:val="21"/>
        </w:rPr>
        <w:t>SOMMAIRE</w:t>
      </w:r>
    </w:p>
    <w:p w14:paraId="446CA459" w14:textId="77777777" w:rsidR="00053277" w:rsidRDefault="005B17A7" w:rsidP="009E6977">
      <w:pPr>
        <w:pStyle w:val="Corpsdetexte"/>
        <w:spacing w:before="1" w:line="244" w:lineRule="auto"/>
        <w:ind w:left="98" w:right="122" w:firstLine="388"/>
        <w:jc w:val="both"/>
      </w:pPr>
      <w:r>
        <w:t>Chaque année en France plus de 300 000 couples se séparent par</w:t>
      </w:r>
      <w:r>
        <w:rPr>
          <w:spacing w:val="40"/>
        </w:rPr>
        <w:t xml:space="preserve"> </w:t>
      </w:r>
      <w:r>
        <w:t>divorce ou dissolution du Pacs : près d’un mariage sur deux se termine par</w:t>
      </w:r>
      <w:r>
        <w:rPr>
          <w:spacing w:val="40"/>
        </w:rPr>
        <w:t xml:space="preserve"> </w:t>
      </w:r>
      <w:r>
        <w:t xml:space="preserve">un divorce (46 %) et une rupture sur quatre survient dans les 6 premières années de vie commune (24 </w:t>
      </w:r>
      <w:r>
        <w:t>%).</w:t>
      </w:r>
    </w:p>
    <w:p w14:paraId="1E547D79" w14:textId="02E4328F" w:rsidR="00053277" w:rsidRDefault="00F33D5B" w:rsidP="00F33D5B">
      <w:pPr>
        <w:pStyle w:val="Corpsdetexte"/>
        <w:spacing w:before="179" w:line="242" w:lineRule="auto"/>
        <w:ind w:left="98" w:right="121" w:firstLine="388"/>
        <w:jc w:val="both"/>
      </w:pPr>
      <w:r>
        <w:t>L’immense majorité des couples trouve un accord pour payer</w:t>
      </w:r>
      <w:r>
        <w:rPr>
          <w:spacing w:val="40"/>
        </w:rPr>
        <w:t xml:space="preserve"> </w:t>
      </w:r>
      <w:r>
        <w:t xml:space="preserve">leurs impôts. Quand la séparation est moins harmonieuse ou quand une rectification d’impôt surgit, l’accord devient plus difficile. L’administration fiscale n’attend pas la résolution de ce conflit. En l’absence de paiement, elle recherche l’ex-partenaire qui sera en mesure de payer le restant dû, en application du principe de solidarité fiscale. </w:t>
      </w:r>
    </w:p>
    <w:p w14:paraId="400C35D9" w14:textId="62C48EEC" w:rsidR="00053277" w:rsidRDefault="005B17A7" w:rsidP="000E69B5">
      <w:pPr>
        <w:pStyle w:val="Corpsdetexte"/>
        <w:spacing w:before="189" w:line="244" w:lineRule="auto"/>
        <w:ind w:left="98" w:right="124" w:firstLine="388"/>
        <w:jc w:val="both"/>
      </w:pPr>
      <w:r>
        <w:t xml:space="preserve">L’article 1691 </w:t>
      </w:r>
      <w:r>
        <w:rPr>
          <w:i/>
        </w:rPr>
        <w:t xml:space="preserve">bis </w:t>
      </w:r>
      <w:r>
        <w:t>du Code Général des Impôts, introduit par la loi de finances</w:t>
      </w:r>
      <w:r>
        <w:rPr>
          <w:spacing w:val="40"/>
        </w:rPr>
        <w:t xml:space="preserve"> </w:t>
      </w:r>
      <w:r>
        <w:t>de</w:t>
      </w:r>
      <w:r>
        <w:rPr>
          <w:spacing w:val="40"/>
        </w:rPr>
        <w:t xml:space="preserve"> </w:t>
      </w:r>
      <w:r>
        <w:t>2008,</w:t>
      </w:r>
      <w:r>
        <w:rPr>
          <w:spacing w:val="40"/>
        </w:rPr>
        <w:t xml:space="preserve"> </w:t>
      </w:r>
      <w:r>
        <w:t>a</w:t>
      </w:r>
      <w:r>
        <w:rPr>
          <w:spacing w:val="40"/>
        </w:rPr>
        <w:t xml:space="preserve"> </w:t>
      </w:r>
      <w:r>
        <w:t>prévu</w:t>
      </w:r>
      <w:r>
        <w:rPr>
          <w:spacing w:val="40"/>
        </w:rPr>
        <w:t xml:space="preserve"> </w:t>
      </w:r>
      <w:r>
        <w:t>un</w:t>
      </w:r>
      <w:r>
        <w:rPr>
          <w:spacing w:val="40"/>
        </w:rPr>
        <w:t xml:space="preserve"> </w:t>
      </w:r>
      <w:r>
        <w:t>dispositif</w:t>
      </w:r>
      <w:r>
        <w:rPr>
          <w:spacing w:val="40"/>
        </w:rPr>
        <w:t xml:space="preserve"> </w:t>
      </w:r>
      <w:r>
        <w:t>dit</w:t>
      </w:r>
      <w:r>
        <w:rPr>
          <w:spacing w:val="40"/>
        </w:rPr>
        <w:t xml:space="preserve"> </w:t>
      </w:r>
      <w:r>
        <w:t>de</w:t>
      </w:r>
      <w:r>
        <w:rPr>
          <w:spacing w:val="40"/>
        </w:rPr>
        <w:t xml:space="preserve"> </w:t>
      </w:r>
      <w:r>
        <w:rPr>
          <w:b/>
        </w:rPr>
        <w:t>« Décharge</w:t>
      </w:r>
      <w:r>
        <w:rPr>
          <w:b/>
          <w:spacing w:val="40"/>
        </w:rPr>
        <w:t xml:space="preserve"> </w:t>
      </w:r>
      <w:r>
        <w:rPr>
          <w:b/>
        </w:rPr>
        <w:t xml:space="preserve">en responsabilité solidaire » </w:t>
      </w:r>
      <w:r>
        <w:t>visant à permettre la répartition des dettes</w:t>
      </w:r>
      <w:r w:rsidR="005B79E5">
        <w:rPr>
          <w:spacing w:val="80"/>
        </w:rPr>
        <w:t xml:space="preserve"> </w:t>
      </w:r>
      <w:r>
        <w:t>fiscales de la période commune de l’union entre ces deux individus.</w:t>
      </w:r>
      <w:r w:rsidR="000E69B5">
        <w:t xml:space="preserve"> </w:t>
      </w:r>
      <w:r>
        <w:t>Ainsi, la décharge de l’obligation de paiement des dettes fiscales du couple</w:t>
      </w:r>
      <w:r>
        <w:rPr>
          <w:spacing w:val="30"/>
        </w:rPr>
        <w:t xml:space="preserve"> </w:t>
      </w:r>
      <w:r>
        <w:t>est</w:t>
      </w:r>
      <w:r>
        <w:rPr>
          <w:spacing w:val="28"/>
        </w:rPr>
        <w:t xml:space="preserve"> </w:t>
      </w:r>
      <w:r>
        <w:t>ac</w:t>
      </w:r>
      <w:r>
        <w:t>cordée</w:t>
      </w:r>
      <w:r>
        <w:rPr>
          <w:spacing w:val="30"/>
        </w:rPr>
        <w:t xml:space="preserve"> </w:t>
      </w:r>
      <w:r>
        <w:t>en</w:t>
      </w:r>
      <w:r>
        <w:rPr>
          <w:spacing w:val="30"/>
        </w:rPr>
        <w:t xml:space="preserve"> </w:t>
      </w:r>
      <w:r>
        <w:t>cas</w:t>
      </w:r>
      <w:r>
        <w:rPr>
          <w:spacing w:val="30"/>
        </w:rPr>
        <w:t xml:space="preserve"> </w:t>
      </w:r>
      <w:r>
        <w:t>de</w:t>
      </w:r>
      <w:r>
        <w:rPr>
          <w:spacing w:val="30"/>
        </w:rPr>
        <w:t xml:space="preserve"> </w:t>
      </w:r>
      <w:r>
        <w:rPr>
          <w:b/>
        </w:rPr>
        <w:t>disproportion</w:t>
      </w:r>
      <w:r>
        <w:rPr>
          <w:b/>
          <w:spacing w:val="30"/>
        </w:rPr>
        <w:t xml:space="preserve"> </w:t>
      </w:r>
      <w:r>
        <w:rPr>
          <w:b/>
        </w:rPr>
        <w:t>marquée</w:t>
      </w:r>
      <w:r>
        <w:rPr>
          <w:b/>
          <w:spacing w:val="30"/>
        </w:rPr>
        <w:t xml:space="preserve"> </w:t>
      </w:r>
      <w:r>
        <w:rPr>
          <w:b/>
        </w:rPr>
        <w:t>entre</w:t>
      </w:r>
      <w:r>
        <w:rPr>
          <w:b/>
          <w:spacing w:val="30"/>
        </w:rPr>
        <w:t xml:space="preserve"> </w:t>
      </w:r>
      <w:r>
        <w:rPr>
          <w:b/>
        </w:rPr>
        <w:t>le</w:t>
      </w:r>
      <w:r>
        <w:rPr>
          <w:b/>
          <w:spacing w:val="31"/>
        </w:rPr>
        <w:t xml:space="preserve"> </w:t>
      </w:r>
      <w:r>
        <w:rPr>
          <w:b/>
        </w:rPr>
        <w:t>montant de la dette fiscale et la situation financière et patrimoniale du demandeur</w:t>
      </w:r>
      <w:r>
        <w:t xml:space="preserve">. </w:t>
      </w:r>
    </w:p>
    <w:p w14:paraId="557507D5" w14:textId="54268DC2" w:rsidR="00581823" w:rsidRPr="00581823" w:rsidRDefault="005B17A7" w:rsidP="009E6977">
      <w:pPr>
        <w:pStyle w:val="Corpsdetexte"/>
        <w:spacing w:before="179" w:line="244" w:lineRule="auto"/>
        <w:ind w:left="98" w:right="124" w:firstLine="388"/>
        <w:jc w:val="both"/>
      </w:pPr>
      <w:r>
        <w:t>Aujourd’hui, 90 % des demandes de décharge sont déposées par des femmes</w:t>
      </w:r>
      <w:r w:rsidR="000E69B5">
        <w:t>.</w:t>
      </w:r>
      <w:r w:rsidR="000E69B5">
        <w:rPr>
          <w:spacing w:val="22"/>
        </w:rPr>
        <w:t xml:space="preserve"> </w:t>
      </w:r>
      <w:r w:rsidR="00581823" w:rsidRPr="00581823">
        <w:t>La loi de finances 2022 a assoupli une des conditions d’appréciation, celle de la situation financière en réduisant de 10 ans à 3 ans la période de paiement par les revenus nets de charge. L’assouplissement obtenu n’a pas eu l’effet escompté, en tout cas insuffisant. Ainsi 59 % des demandes de décharge sont toujours rejetées en 2022. C’est mieux qu’auparavant quand le taux de rejet était de 70%. (Rapporteur de la Commission des Finances.2023)</w:t>
      </w:r>
    </w:p>
    <w:p w14:paraId="32E94048" w14:textId="43166428" w:rsidR="00053277" w:rsidRDefault="005B17A7" w:rsidP="009E6977">
      <w:pPr>
        <w:pStyle w:val="Corpsdetexte"/>
        <w:spacing w:before="178" w:line="244" w:lineRule="auto"/>
        <w:ind w:left="98" w:right="124" w:firstLine="388"/>
        <w:jc w:val="both"/>
      </w:pPr>
      <w:r w:rsidRPr="00581823">
        <w:t xml:space="preserve">Il est anormal que la législation actuelle </w:t>
      </w:r>
      <w:r w:rsidR="00CC190A" w:rsidRPr="00581823">
        <w:t>prévoie</w:t>
      </w:r>
      <w:r w:rsidRPr="00581823">
        <w:t xml:space="preserve"> que le demandeur reste tenu de payer solidairement les majorations et pénalités exigées pour des</w:t>
      </w:r>
      <w:r>
        <w:t xml:space="preserve"> revenus occultes ou dissimulés de son ex-conjoint.</w:t>
      </w:r>
    </w:p>
    <w:p w14:paraId="7A88CF50" w14:textId="56E0F23E" w:rsidR="00053277" w:rsidRDefault="005B17A7" w:rsidP="009E6977">
      <w:pPr>
        <w:pStyle w:val="Corpsdetexte"/>
        <w:spacing w:before="179" w:line="244" w:lineRule="auto"/>
        <w:ind w:left="98" w:right="125" w:firstLine="388"/>
        <w:jc w:val="both"/>
        <w:rPr>
          <w:sz w:val="17"/>
        </w:rPr>
      </w:pPr>
      <w:r>
        <w:t xml:space="preserve">Ainsi, pour rectifier cette situation, il est proposé d’inclure dans les conditions d’examen de la demande </w:t>
      </w:r>
      <w:r>
        <w:t>de décharge de responsabilité solidaire des</w:t>
      </w:r>
      <w:r>
        <w:rPr>
          <w:spacing w:val="22"/>
        </w:rPr>
        <w:t xml:space="preserve"> </w:t>
      </w:r>
      <w:r>
        <w:t>ex-époux,</w:t>
      </w:r>
      <w:r>
        <w:rPr>
          <w:spacing w:val="23"/>
        </w:rPr>
        <w:t xml:space="preserve"> </w:t>
      </w:r>
      <w:r>
        <w:t>l’appréciation</w:t>
      </w:r>
      <w:r>
        <w:rPr>
          <w:spacing w:val="23"/>
        </w:rPr>
        <w:t xml:space="preserve"> </w:t>
      </w:r>
      <w:r>
        <w:t>de</w:t>
      </w:r>
      <w:r>
        <w:rPr>
          <w:spacing w:val="22"/>
        </w:rPr>
        <w:t xml:space="preserve"> </w:t>
      </w:r>
      <w:r>
        <w:t>l’origine</w:t>
      </w:r>
      <w:r>
        <w:rPr>
          <w:spacing w:val="22"/>
        </w:rPr>
        <w:t xml:space="preserve"> </w:t>
      </w:r>
      <w:r>
        <w:t>du</w:t>
      </w:r>
      <w:r>
        <w:rPr>
          <w:spacing w:val="25"/>
        </w:rPr>
        <w:t xml:space="preserve"> </w:t>
      </w:r>
      <w:r>
        <w:t>montant</w:t>
      </w:r>
      <w:r>
        <w:rPr>
          <w:spacing w:val="22"/>
        </w:rPr>
        <w:t xml:space="preserve"> </w:t>
      </w:r>
      <w:r>
        <w:t>de</w:t>
      </w:r>
      <w:r>
        <w:rPr>
          <w:spacing w:val="23"/>
        </w:rPr>
        <w:t xml:space="preserve"> </w:t>
      </w:r>
      <w:r>
        <w:t>la</w:t>
      </w:r>
      <w:r>
        <w:rPr>
          <w:spacing w:val="22"/>
        </w:rPr>
        <w:t xml:space="preserve"> </w:t>
      </w:r>
      <w:r>
        <w:t>dette</w:t>
      </w:r>
      <w:r>
        <w:rPr>
          <w:spacing w:val="24"/>
        </w:rPr>
        <w:t xml:space="preserve"> </w:t>
      </w:r>
      <w:r>
        <w:t>fiscale</w:t>
      </w:r>
      <w:r>
        <w:rPr>
          <w:spacing w:val="23"/>
        </w:rPr>
        <w:t xml:space="preserve"> </w:t>
      </w:r>
      <w:r>
        <w:t>de la période de vie commune.</w:t>
      </w:r>
    </w:p>
    <w:sectPr w:rsidR="00053277" w:rsidSect="00F33D5B">
      <w:headerReference w:type="default" r:id="rId6"/>
      <w:pgSz w:w="9080" w:h="13600"/>
      <w:pgMar w:top="964" w:right="1077" w:bottom="1440" w:left="1077" w:header="123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CDDA" w14:textId="77777777" w:rsidR="00A54FDD" w:rsidRDefault="00A54FDD">
      <w:r>
        <w:separator/>
      </w:r>
    </w:p>
  </w:endnote>
  <w:endnote w:type="continuationSeparator" w:id="0">
    <w:p w14:paraId="28EAF396" w14:textId="77777777" w:rsidR="00A54FDD" w:rsidRDefault="00A5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58CD" w14:textId="77777777" w:rsidR="00A54FDD" w:rsidRDefault="00A54FDD">
      <w:r>
        <w:separator/>
      </w:r>
    </w:p>
  </w:footnote>
  <w:footnote w:type="continuationSeparator" w:id="0">
    <w:p w14:paraId="7FA14497" w14:textId="77777777" w:rsidR="00A54FDD" w:rsidRDefault="00A5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5412" w14:textId="77777777" w:rsidR="00053277" w:rsidRDefault="00053277">
    <w:pPr>
      <w:pStyle w:val="Corpsdetexte"/>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77"/>
    <w:rsid w:val="00053277"/>
    <w:rsid w:val="000B6AF6"/>
    <w:rsid w:val="000E69B5"/>
    <w:rsid w:val="001B0D21"/>
    <w:rsid w:val="00217289"/>
    <w:rsid w:val="00364368"/>
    <w:rsid w:val="00564E24"/>
    <w:rsid w:val="00581823"/>
    <w:rsid w:val="005905CD"/>
    <w:rsid w:val="005B17A7"/>
    <w:rsid w:val="005B79E5"/>
    <w:rsid w:val="005D1148"/>
    <w:rsid w:val="00605829"/>
    <w:rsid w:val="00664832"/>
    <w:rsid w:val="00704839"/>
    <w:rsid w:val="0079038C"/>
    <w:rsid w:val="0087011A"/>
    <w:rsid w:val="00921D43"/>
    <w:rsid w:val="00981786"/>
    <w:rsid w:val="009E6977"/>
    <w:rsid w:val="00A54FDD"/>
    <w:rsid w:val="00A737A2"/>
    <w:rsid w:val="00B16421"/>
    <w:rsid w:val="00CC190A"/>
    <w:rsid w:val="00CC603F"/>
    <w:rsid w:val="00D639E3"/>
    <w:rsid w:val="00E01C54"/>
    <w:rsid w:val="00E13AD2"/>
    <w:rsid w:val="00F3291E"/>
    <w:rsid w:val="00F33D5B"/>
    <w:rsid w:val="00FD1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AC00"/>
  <w15:docId w15:val="{81FBBDB9-68F0-4FD5-8171-41F3E726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ind w:left="742" w:right="256"/>
      <w:jc w:val="center"/>
      <w:outlineLvl w:val="0"/>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Titre">
    <w:name w:val="Title"/>
    <w:basedOn w:val="Normal"/>
    <w:uiPriority w:val="10"/>
    <w:qFormat/>
    <w:pPr>
      <w:spacing w:before="235"/>
      <w:ind w:left="744" w:right="256"/>
      <w:jc w:val="center"/>
    </w:pPr>
    <w:rPr>
      <w:b/>
      <w:bCs/>
      <w:sz w:val="42"/>
      <w:szCs w:val="42"/>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customStyle="1" w:styleId="amddispotitre">
    <w:name w:val="amddispotitre"/>
    <w:basedOn w:val="Normal"/>
    <w:rsid w:val="00921D43"/>
    <w:pPr>
      <w:autoSpaceDE/>
      <w:autoSpaceDN/>
    </w:pPr>
    <w:rPr>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3697</Characters>
  <Application>Microsoft Office Word</Application>
  <DocSecurity>0</DocSecurity>
  <Lines>30</Lines>
  <Paragraphs>8</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Microsoft Word - 965-i-463-PPL-Martin Alexandra-Responsabilité solidaire-DCP_pastillé-PUB.docx</vt:lpstr>
      <vt:lpstr/>
      <vt:lpstr>III. – L’augmentation des dépenses pour l’État est compensée à due concurrence p</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- 965-i-463-PPL-Martin Alexandra-Responsabilité solidaire-DCP_pastillé-PUB.docx</dc:title>
  <dc:creator>ngirault</dc:creator>
  <cp:lastModifiedBy>User</cp:lastModifiedBy>
  <cp:revision>2</cp:revision>
  <dcterms:created xsi:type="dcterms:W3CDTF">2023-10-31T15:09:00Z</dcterms:created>
  <dcterms:modified xsi:type="dcterms:W3CDTF">2023-10-31T15:09:00Z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Creator">
    <vt:lpwstr>PScript5.dll Version 5.2.2</vt:lpwstr>
  </property>
  <property fmtid="{D5CDD505-2E9C-101B-9397-08002B2CF9AE}" pid="4" name="LastSaved">
    <vt:filetime>2023-10-02T00:00:00Z</vt:filetime>
  </property>
  <property fmtid="{D5CDD505-2E9C-101B-9397-08002B2CF9AE}" pid="5" name="Producer">
    <vt:lpwstr>Acrobat Distiller 11.0 (Windows)</vt:lpwstr>
  </property>
</Properties>
</file>